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42" w:rsidRPr="00FE005E" w:rsidRDefault="00792D42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792D42" w:rsidRPr="00FE005E" w:rsidRDefault="00792D42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792D42" w:rsidRPr="00FE005E" w:rsidRDefault="00B75C12" w:rsidP="00835739">
      <w:pPr>
        <w:jc w:val="center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t>UTAH STATE BAR</w:t>
      </w:r>
    </w:p>
    <w:p w:rsidR="00692286" w:rsidRPr="00FE005E" w:rsidRDefault="00692286" w:rsidP="00835739">
      <w:pPr>
        <w:jc w:val="center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t xml:space="preserve">IP </w:t>
      </w:r>
      <w:r w:rsidR="00C3514F" w:rsidRPr="00FE005E">
        <w:rPr>
          <w:rFonts w:ascii="Times New Roman" w:hAnsi="Times New Roman"/>
          <w:b/>
          <w:sz w:val="28"/>
          <w:szCs w:val="28"/>
        </w:rPr>
        <w:t>Summit</w:t>
      </w:r>
      <w:r w:rsidRPr="00FE005E">
        <w:rPr>
          <w:rFonts w:ascii="Times New Roman" w:hAnsi="Times New Roman"/>
          <w:b/>
          <w:sz w:val="28"/>
          <w:szCs w:val="28"/>
        </w:rPr>
        <w:t xml:space="preserve"> 20</w:t>
      </w:r>
      <w:r w:rsidR="00C3514F" w:rsidRPr="00FE005E">
        <w:rPr>
          <w:rFonts w:ascii="Times New Roman" w:hAnsi="Times New Roman"/>
          <w:b/>
          <w:sz w:val="28"/>
          <w:szCs w:val="28"/>
        </w:rPr>
        <w:t>20</w:t>
      </w:r>
    </w:p>
    <w:p w:rsidR="00792D42" w:rsidRPr="00FE005E" w:rsidRDefault="00792D42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792D42" w:rsidRPr="00FE005E" w:rsidRDefault="00792D42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1F73B9" w:rsidRPr="00FE005E" w:rsidRDefault="001F73B9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8F1708" w:rsidRPr="00FE005E" w:rsidRDefault="008F1708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8F1708" w:rsidRPr="00FE005E" w:rsidRDefault="008F1708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8F1708" w:rsidRPr="00FE005E" w:rsidRDefault="008F1708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4B4898" w:rsidRPr="00FE005E" w:rsidRDefault="00C3514F" w:rsidP="00835739">
      <w:pPr>
        <w:jc w:val="center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t>Right To Trial By Jury in Patent Cases</w:t>
      </w:r>
    </w:p>
    <w:p w:rsidR="00835739" w:rsidRPr="00FE005E" w:rsidRDefault="00835739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8F1708" w:rsidRPr="00FE005E" w:rsidRDefault="008F1708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835739" w:rsidRPr="00FE005E" w:rsidRDefault="00835739" w:rsidP="00835739">
      <w:pPr>
        <w:jc w:val="center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>Joseph R. Re</w:t>
      </w:r>
    </w:p>
    <w:p w:rsidR="00835739" w:rsidRPr="00FE005E" w:rsidRDefault="00835739" w:rsidP="00835739">
      <w:pPr>
        <w:jc w:val="center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>Knobbe, Martens, Olson &amp; Bear LLP</w:t>
      </w:r>
    </w:p>
    <w:p w:rsidR="001F73B9" w:rsidRPr="00FE005E" w:rsidRDefault="001F73B9" w:rsidP="00835739">
      <w:pPr>
        <w:jc w:val="center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 xml:space="preserve">Irvine, CA </w:t>
      </w:r>
    </w:p>
    <w:p w:rsidR="00692286" w:rsidRPr="00FE005E" w:rsidRDefault="00692286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692286" w:rsidRPr="00FE005E" w:rsidRDefault="00692286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692286" w:rsidRPr="00FE005E" w:rsidRDefault="00692286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1F73B9" w:rsidRPr="00FE005E" w:rsidRDefault="001F73B9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1F73B9" w:rsidRPr="00FE005E" w:rsidRDefault="001F73B9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1F73B9" w:rsidRPr="00FE005E" w:rsidRDefault="001F73B9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1F73B9" w:rsidRPr="00FE005E" w:rsidRDefault="001F73B9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1F73B9" w:rsidRPr="00FE005E" w:rsidRDefault="001F73B9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1F73B9" w:rsidRPr="00FE005E" w:rsidRDefault="001F73B9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1F73B9" w:rsidRPr="00FE005E" w:rsidRDefault="001F73B9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1F73B9" w:rsidRPr="00FE005E" w:rsidRDefault="001F73B9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1F73B9" w:rsidRPr="00FE005E" w:rsidRDefault="001F73B9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1F73B9" w:rsidRPr="00FE005E" w:rsidRDefault="001F73B9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692286" w:rsidRPr="00FE005E" w:rsidRDefault="00692286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692286" w:rsidRPr="00FE005E" w:rsidRDefault="00692286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B75C12" w:rsidRPr="00FE005E" w:rsidRDefault="00B75C12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B75C12" w:rsidRPr="00FE005E" w:rsidRDefault="00B75C12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692286" w:rsidRPr="00FE005E" w:rsidRDefault="00692286" w:rsidP="00835739">
      <w:pPr>
        <w:jc w:val="center"/>
        <w:rPr>
          <w:rFonts w:ascii="Times New Roman" w:hAnsi="Times New Roman"/>
          <w:sz w:val="28"/>
          <w:szCs w:val="28"/>
        </w:rPr>
      </w:pPr>
    </w:p>
    <w:p w:rsidR="00692286" w:rsidRPr="00FE005E" w:rsidRDefault="003A438E" w:rsidP="00835739">
      <w:pPr>
        <w:jc w:val="center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>February 21, 2020</w:t>
      </w:r>
    </w:p>
    <w:p w:rsidR="00EB054F" w:rsidRPr="00FE005E" w:rsidRDefault="004A6D73" w:rsidP="008F1708">
      <w:pPr>
        <w:jc w:val="center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>Salt Lake, UT</w:t>
      </w:r>
      <w:r w:rsidR="00692286" w:rsidRPr="00FE005E">
        <w:rPr>
          <w:rFonts w:ascii="Times New Roman" w:hAnsi="Times New Roman"/>
          <w:sz w:val="28"/>
          <w:szCs w:val="28"/>
        </w:rPr>
        <w:br w:type="page"/>
      </w:r>
    </w:p>
    <w:p w:rsidR="00EB054F" w:rsidRPr="00FE005E" w:rsidRDefault="00EB054F" w:rsidP="00237DEE">
      <w:pPr>
        <w:pStyle w:val="ListParagraph"/>
        <w:numPr>
          <w:ilvl w:val="0"/>
          <w:numId w:val="9"/>
        </w:numPr>
        <w:ind w:left="720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lastRenderedPageBreak/>
        <w:t>The Seventh Amendment</w:t>
      </w:r>
    </w:p>
    <w:p w:rsidR="00EB054F" w:rsidRPr="00FE005E" w:rsidRDefault="00EB054F" w:rsidP="00C37A53">
      <w:pPr>
        <w:ind w:left="-630"/>
        <w:jc w:val="both"/>
        <w:rPr>
          <w:rFonts w:ascii="Times New Roman" w:hAnsi="Times New Roman"/>
          <w:b/>
          <w:sz w:val="28"/>
          <w:szCs w:val="28"/>
        </w:rPr>
      </w:pPr>
    </w:p>
    <w:p w:rsidR="00EB054F" w:rsidRPr="00FE005E" w:rsidRDefault="00EB054F" w:rsidP="001477EF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>In Suits at common law, where the value in controversy shall exceed twenty dollars, the right of trial by jury shall be preserved, and no fact tried by a jury, shall be otherwise re-examined in any Court of the United States, than according to the rules of the common law.</w:t>
      </w:r>
    </w:p>
    <w:p w:rsidR="001477EF" w:rsidRDefault="001477EF" w:rsidP="00C37A53">
      <w:pPr>
        <w:ind w:left="-630"/>
        <w:jc w:val="both"/>
        <w:rPr>
          <w:rFonts w:ascii="Times New Roman" w:hAnsi="Times New Roman"/>
          <w:b/>
          <w:sz w:val="28"/>
          <w:szCs w:val="28"/>
        </w:rPr>
      </w:pPr>
    </w:p>
    <w:p w:rsidR="00F57916" w:rsidRPr="00FE005E" w:rsidRDefault="00F57916" w:rsidP="00C37A53">
      <w:pPr>
        <w:ind w:left="-630"/>
        <w:jc w:val="both"/>
        <w:rPr>
          <w:rFonts w:ascii="Times New Roman" w:hAnsi="Times New Roman"/>
          <w:b/>
          <w:sz w:val="28"/>
          <w:szCs w:val="28"/>
        </w:rPr>
      </w:pPr>
    </w:p>
    <w:p w:rsidR="00657720" w:rsidRPr="00FE005E" w:rsidRDefault="00581BE5" w:rsidP="00237DEE">
      <w:pPr>
        <w:pStyle w:val="ListParagraph"/>
        <w:numPr>
          <w:ilvl w:val="0"/>
          <w:numId w:val="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t xml:space="preserve">Need for </w:t>
      </w:r>
      <w:r w:rsidR="00657720" w:rsidRPr="00FE005E">
        <w:rPr>
          <w:rFonts w:ascii="Times New Roman" w:hAnsi="Times New Roman"/>
          <w:b/>
          <w:sz w:val="28"/>
          <w:szCs w:val="28"/>
        </w:rPr>
        <w:t xml:space="preserve">Timely Demand </w:t>
      </w:r>
    </w:p>
    <w:p w:rsidR="001477EF" w:rsidRPr="00FE005E" w:rsidRDefault="001477EF" w:rsidP="00C37A53">
      <w:pPr>
        <w:pStyle w:val="ListParagraph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657720" w:rsidRPr="00FE005E" w:rsidRDefault="00657720" w:rsidP="001477EF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mallCaps/>
          <w:sz w:val="28"/>
          <w:szCs w:val="28"/>
        </w:rPr>
        <w:t>Fed. R. Civ. P</w:t>
      </w:r>
      <w:r w:rsidR="00FE005E" w:rsidRPr="00FE005E">
        <w:rPr>
          <w:rFonts w:ascii="Times New Roman" w:hAnsi="Times New Roman"/>
          <w:smallCaps/>
          <w:sz w:val="28"/>
          <w:szCs w:val="28"/>
        </w:rPr>
        <w:t>.</w:t>
      </w:r>
      <w:r w:rsidRPr="00FE005E">
        <w:rPr>
          <w:rFonts w:ascii="Times New Roman" w:hAnsi="Times New Roman"/>
          <w:sz w:val="28"/>
          <w:szCs w:val="28"/>
        </w:rPr>
        <w:t xml:space="preserve"> 38(b)(1):</w:t>
      </w:r>
    </w:p>
    <w:p w:rsidR="00657720" w:rsidRPr="00FE005E" w:rsidRDefault="00657720" w:rsidP="00C37A53">
      <w:pPr>
        <w:ind w:left="90"/>
        <w:jc w:val="both"/>
        <w:rPr>
          <w:rFonts w:ascii="Times New Roman" w:hAnsi="Times New Roman"/>
          <w:sz w:val="28"/>
          <w:szCs w:val="28"/>
        </w:rPr>
      </w:pPr>
    </w:p>
    <w:p w:rsidR="00BB6C13" w:rsidRPr="00FE005E" w:rsidRDefault="00BB6C13" w:rsidP="001477EF">
      <w:pPr>
        <w:ind w:left="720" w:right="720"/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>On any issue triable of right by a jury, a party may demand a jury trial by:</w:t>
      </w:r>
    </w:p>
    <w:p w:rsidR="00BB6C13" w:rsidRPr="00FE005E" w:rsidRDefault="00BB6C13" w:rsidP="001477EF">
      <w:pPr>
        <w:ind w:left="720" w:right="720"/>
        <w:jc w:val="both"/>
        <w:rPr>
          <w:rFonts w:ascii="Times New Roman" w:hAnsi="Times New Roman"/>
          <w:sz w:val="28"/>
          <w:szCs w:val="28"/>
        </w:rPr>
      </w:pPr>
    </w:p>
    <w:p w:rsidR="00657720" w:rsidRPr="00FE005E" w:rsidRDefault="00BB6C13" w:rsidP="001477EF">
      <w:pPr>
        <w:ind w:left="720" w:right="720"/>
        <w:jc w:val="both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>(1) serving the other parties with a written demand—which may be included in a pleading—no later than 14 days after the last pleading directed to the issue is served</w:t>
      </w:r>
      <w:r w:rsidR="00C166FA" w:rsidRPr="00FE005E">
        <w:rPr>
          <w:rFonts w:ascii="Times New Roman" w:hAnsi="Times New Roman"/>
          <w:sz w:val="28"/>
          <w:szCs w:val="28"/>
        </w:rPr>
        <w:t xml:space="preserve"> . . . </w:t>
      </w:r>
      <w:r w:rsidRPr="00FE005E">
        <w:rPr>
          <w:rFonts w:ascii="Times New Roman" w:hAnsi="Times New Roman"/>
          <w:sz w:val="28"/>
          <w:szCs w:val="28"/>
        </w:rPr>
        <w:t xml:space="preserve"> </w:t>
      </w:r>
    </w:p>
    <w:p w:rsidR="001477EF" w:rsidRDefault="001477EF" w:rsidP="00C37A53">
      <w:pPr>
        <w:pStyle w:val="ListParagraph"/>
        <w:ind w:left="90"/>
        <w:jc w:val="both"/>
        <w:rPr>
          <w:rFonts w:ascii="Times New Roman" w:hAnsi="Times New Roman"/>
          <w:b/>
          <w:sz w:val="28"/>
          <w:szCs w:val="28"/>
        </w:rPr>
      </w:pPr>
    </w:p>
    <w:p w:rsidR="00F57916" w:rsidRPr="00FE005E" w:rsidRDefault="00F57916" w:rsidP="00C37A53">
      <w:pPr>
        <w:pStyle w:val="ListParagraph"/>
        <w:ind w:left="90"/>
        <w:jc w:val="both"/>
        <w:rPr>
          <w:rFonts w:ascii="Times New Roman" w:hAnsi="Times New Roman"/>
          <w:b/>
          <w:sz w:val="28"/>
          <w:szCs w:val="28"/>
        </w:rPr>
      </w:pPr>
    </w:p>
    <w:p w:rsidR="00EB054F" w:rsidRPr="00FE005E" w:rsidRDefault="0043710A" w:rsidP="00237DEE">
      <w:pPr>
        <w:pStyle w:val="ListParagraph"/>
        <w:numPr>
          <w:ilvl w:val="0"/>
          <w:numId w:val="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t>At Law or i</w:t>
      </w:r>
      <w:r w:rsidR="00744767" w:rsidRPr="00FE005E">
        <w:rPr>
          <w:rFonts w:ascii="Times New Roman" w:hAnsi="Times New Roman"/>
          <w:b/>
          <w:sz w:val="28"/>
          <w:szCs w:val="28"/>
        </w:rPr>
        <w:t>n Equity: The Nature of the Issue to be Tried</w:t>
      </w:r>
    </w:p>
    <w:p w:rsidR="00E8732C" w:rsidRPr="00FE005E" w:rsidRDefault="00E8732C" w:rsidP="00C37A53">
      <w:pPr>
        <w:ind w:left="90"/>
        <w:jc w:val="both"/>
        <w:rPr>
          <w:rFonts w:ascii="Times New Roman" w:hAnsi="Times New Roman"/>
          <w:bCs/>
          <w:sz w:val="28"/>
          <w:szCs w:val="28"/>
        </w:rPr>
      </w:pPr>
    </w:p>
    <w:p w:rsidR="00E8732C" w:rsidRPr="00FE005E" w:rsidRDefault="00E8732C" w:rsidP="00C37A53">
      <w:pPr>
        <w:ind w:left="720" w:right="720"/>
        <w:jc w:val="both"/>
        <w:rPr>
          <w:rFonts w:ascii="Times New Roman" w:hAnsi="Times New Roman"/>
          <w:bCs/>
          <w:sz w:val="28"/>
          <w:szCs w:val="28"/>
        </w:rPr>
      </w:pPr>
      <w:r w:rsidRPr="00FE005E">
        <w:rPr>
          <w:rFonts w:ascii="Times New Roman" w:hAnsi="Times New Roman"/>
          <w:bCs/>
          <w:sz w:val="28"/>
          <w:szCs w:val="28"/>
        </w:rPr>
        <w:t xml:space="preserve">The Court has construed this language [of the Seventh Amendment] to require a jury trial on the merits in those actions that are analogous to </w:t>
      </w:r>
      <w:r w:rsidR="001B1C21">
        <w:rPr>
          <w:rFonts w:ascii="Times New Roman" w:hAnsi="Times New Roman"/>
          <w:bCs/>
          <w:sz w:val="28"/>
          <w:szCs w:val="28"/>
        </w:rPr>
        <w:t>“</w:t>
      </w:r>
      <w:r w:rsidRPr="00FE005E">
        <w:rPr>
          <w:rFonts w:ascii="Times New Roman" w:hAnsi="Times New Roman"/>
          <w:bCs/>
          <w:sz w:val="28"/>
          <w:szCs w:val="28"/>
        </w:rPr>
        <w:t>Suits at common law.</w:t>
      </w:r>
      <w:r w:rsidR="001B1C21">
        <w:rPr>
          <w:rFonts w:ascii="Times New Roman" w:hAnsi="Times New Roman"/>
          <w:bCs/>
          <w:sz w:val="28"/>
          <w:szCs w:val="28"/>
        </w:rPr>
        <w:t>”</w:t>
      </w:r>
      <w:r w:rsidRPr="00FE005E">
        <w:rPr>
          <w:rFonts w:ascii="Times New Roman" w:hAnsi="Times New Roman"/>
          <w:bCs/>
          <w:sz w:val="28"/>
          <w:szCs w:val="28"/>
        </w:rPr>
        <w:t xml:space="preserve"> </w:t>
      </w:r>
      <w:r w:rsidR="001B1C21">
        <w:rPr>
          <w:rFonts w:ascii="Times New Roman" w:hAnsi="Times New Roman"/>
          <w:bCs/>
          <w:sz w:val="28"/>
          <w:szCs w:val="28"/>
        </w:rPr>
        <w:t xml:space="preserve"> </w:t>
      </w:r>
      <w:r w:rsidRPr="00FE005E">
        <w:rPr>
          <w:rFonts w:ascii="Times New Roman" w:hAnsi="Times New Roman"/>
          <w:bCs/>
          <w:sz w:val="28"/>
          <w:szCs w:val="28"/>
        </w:rPr>
        <w:t>Prior to the Amendment's adoption, a jury trial was customary in suits brought in the English law courts. In contrast, those actions that are analogous to 18th-century cases tried in courts of equity or admiralty do not require a jury trial.</w:t>
      </w:r>
    </w:p>
    <w:p w:rsidR="00E92348" w:rsidRDefault="00E92348" w:rsidP="00E92348">
      <w:pPr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92348" w:rsidRPr="00FE005E" w:rsidRDefault="00E92348" w:rsidP="00E92348">
      <w:pPr>
        <w:jc w:val="both"/>
        <w:rPr>
          <w:rFonts w:ascii="Times New Roman" w:hAnsi="Times New Roman"/>
          <w:bCs/>
          <w:sz w:val="28"/>
          <w:szCs w:val="28"/>
        </w:rPr>
      </w:pPr>
      <w:r w:rsidRPr="00FE005E">
        <w:rPr>
          <w:rFonts w:ascii="Times New Roman" w:hAnsi="Times New Roman"/>
          <w:bCs/>
          <w:i/>
          <w:sz w:val="28"/>
          <w:szCs w:val="28"/>
        </w:rPr>
        <w:t>Tull v. United States</w:t>
      </w:r>
      <w:r w:rsidRPr="00FE005E">
        <w:rPr>
          <w:rFonts w:ascii="Times New Roman" w:hAnsi="Times New Roman"/>
          <w:bCs/>
          <w:sz w:val="28"/>
          <w:szCs w:val="28"/>
        </w:rPr>
        <w:t>, 481 U.S. 412, 417 (1987)</w:t>
      </w:r>
      <w:r w:rsidR="00237DEE">
        <w:rPr>
          <w:rFonts w:ascii="Times New Roman" w:hAnsi="Times New Roman"/>
          <w:bCs/>
          <w:sz w:val="28"/>
          <w:szCs w:val="28"/>
        </w:rPr>
        <w:t>.</w:t>
      </w:r>
    </w:p>
    <w:p w:rsidR="00FE005E" w:rsidRDefault="00FE005E" w:rsidP="00C37A53">
      <w:pPr>
        <w:ind w:left="90"/>
        <w:jc w:val="both"/>
        <w:rPr>
          <w:rFonts w:ascii="Times New Roman" w:hAnsi="Times New Roman"/>
          <w:sz w:val="28"/>
          <w:szCs w:val="28"/>
        </w:rPr>
      </w:pPr>
    </w:p>
    <w:p w:rsidR="00FE005E" w:rsidRPr="00FE005E" w:rsidRDefault="0043710A" w:rsidP="00F57916">
      <w:pPr>
        <w:ind w:left="720" w:right="720"/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 xml:space="preserve">The </w:t>
      </w:r>
      <w:r w:rsidRPr="00FE005E">
        <w:rPr>
          <w:rFonts w:ascii="Times New Roman" w:hAnsi="Times New Roman"/>
          <w:sz w:val="28"/>
          <w:szCs w:val="28"/>
        </w:rPr>
        <w:fldChar w:fldCharType="begin"/>
      </w:r>
      <w:r w:rsidRPr="00FE005E">
        <w:rPr>
          <w:rFonts w:ascii="Times New Roman" w:hAnsi="Times New Roman"/>
          <w:sz w:val="28"/>
          <w:szCs w:val="28"/>
        </w:rPr>
        <w:instrText xml:space="preserve"> ADDIN BA \xc &lt;@$con&gt; \xl 17 \s YLIXXP000042 </w:instrText>
      </w:r>
      <w:r w:rsidRPr="00FE005E">
        <w:rPr>
          <w:rFonts w:ascii="Times New Roman" w:hAnsi="Times New Roman"/>
          <w:sz w:val="28"/>
          <w:szCs w:val="28"/>
        </w:rPr>
        <w:fldChar w:fldCharType="end"/>
      </w:r>
      <w:r w:rsidRPr="00FE005E">
        <w:rPr>
          <w:rFonts w:ascii="Times New Roman" w:hAnsi="Times New Roman"/>
          <w:sz w:val="28"/>
          <w:szCs w:val="28"/>
        </w:rPr>
        <w:t>Seventh Amendment question depends on the nature of the issue to be tried rather than</w:t>
      </w:r>
      <w:bookmarkStart w:id="0" w:name="_GoBack"/>
      <w:bookmarkEnd w:id="0"/>
      <w:r w:rsidRPr="00FE005E">
        <w:rPr>
          <w:rFonts w:ascii="Times New Roman" w:hAnsi="Times New Roman"/>
          <w:sz w:val="28"/>
          <w:szCs w:val="28"/>
        </w:rPr>
        <w:t xml:space="preserve"> the cha</w:t>
      </w:r>
      <w:r w:rsidR="00FE005E">
        <w:rPr>
          <w:rFonts w:ascii="Times New Roman" w:hAnsi="Times New Roman"/>
          <w:sz w:val="28"/>
          <w:szCs w:val="28"/>
        </w:rPr>
        <w:t>racter of the overall action.</w:t>
      </w:r>
    </w:p>
    <w:p w:rsidR="00EB054F" w:rsidRDefault="00EB054F" w:rsidP="00C37A53">
      <w:pPr>
        <w:ind w:left="-630"/>
        <w:jc w:val="both"/>
        <w:rPr>
          <w:rFonts w:ascii="Times New Roman" w:hAnsi="Times New Roman"/>
          <w:b/>
          <w:sz w:val="28"/>
          <w:szCs w:val="28"/>
        </w:rPr>
      </w:pPr>
    </w:p>
    <w:p w:rsidR="00E92348" w:rsidRDefault="00E92348" w:rsidP="00E92348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i/>
          <w:sz w:val="28"/>
          <w:szCs w:val="28"/>
        </w:rPr>
        <w:t>Ross v. Bernhard</w:t>
      </w:r>
      <w:r>
        <w:rPr>
          <w:rFonts w:ascii="Times New Roman" w:hAnsi="Times New Roman"/>
          <w:sz w:val="28"/>
          <w:szCs w:val="28"/>
        </w:rPr>
        <w:t>, 396 U.S. 531, 538 (1970)</w:t>
      </w:r>
      <w:r w:rsidR="00237DEE">
        <w:rPr>
          <w:rFonts w:ascii="Times New Roman" w:hAnsi="Times New Roman"/>
          <w:sz w:val="28"/>
          <w:szCs w:val="28"/>
        </w:rPr>
        <w:t>.</w:t>
      </w:r>
    </w:p>
    <w:p w:rsidR="00E92348" w:rsidRDefault="00E92348" w:rsidP="00E92348">
      <w:pPr>
        <w:jc w:val="both"/>
        <w:rPr>
          <w:rFonts w:ascii="Times New Roman" w:hAnsi="Times New Roman"/>
          <w:sz w:val="28"/>
          <w:szCs w:val="28"/>
        </w:rPr>
      </w:pPr>
    </w:p>
    <w:p w:rsidR="00F160DB" w:rsidRDefault="00F160DB" w:rsidP="00E92348">
      <w:pPr>
        <w:jc w:val="both"/>
        <w:rPr>
          <w:rFonts w:ascii="Times New Roman" w:hAnsi="Times New Roman"/>
          <w:sz w:val="28"/>
          <w:szCs w:val="28"/>
        </w:rPr>
      </w:pPr>
    </w:p>
    <w:p w:rsidR="00F160DB" w:rsidRDefault="00F160DB" w:rsidP="00E92348">
      <w:pPr>
        <w:jc w:val="both"/>
        <w:rPr>
          <w:rFonts w:ascii="Times New Roman" w:hAnsi="Times New Roman"/>
          <w:sz w:val="28"/>
          <w:szCs w:val="28"/>
        </w:rPr>
      </w:pPr>
    </w:p>
    <w:p w:rsidR="00F160DB" w:rsidRDefault="00F160DB" w:rsidP="00E92348">
      <w:pPr>
        <w:jc w:val="both"/>
        <w:rPr>
          <w:rFonts w:ascii="Times New Roman" w:hAnsi="Times New Roman"/>
          <w:sz w:val="28"/>
          <w:szCs w:val="28"/>
        </w:rPr>
      </w:pPr>
    </w:p>
    <w:p w:rsidR="00F160DB" w:rsidRDefault="00F160DB" w:rsidP="00E92348">
      <w:pPr>
        <w:jc w:val="both"/>
        <w:rPr>
          <w:rFonts w:ascii="Times New Roman" w:hAnsi="Times New Roman"/>
          <w:sz w:val="28"/>
          <w:szCs w:val="28"/>
        </w:rPr>
      </w:pPr>
    </w:p>
    <w:p w:rsidR="009D0A67" w:rsidRPr="00237DEE" w:rsidRDefault="00433DC3" w:rsidP="00237DEE">
      <w:pPr>
        <w:pStyle w:val="ListParagraph"/>
        <w:numPr>
          <w:ilvl w:val="0"/>
          <w:numId w:val="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237DEE">
        <w:rPr>
          <w:rFonts w:ascii="Times New Roman" w:hAnsi="Times New Roman"/>
          <w:b/>
          <w:sz w:val="28"/>
          <w:szCs w:val="28"/>
        </w:rPr>
        <w:lastRenderedPageBreak/>
        <w:t>The Common Law Remedies</w:t>
      </w:r>
    </w:p>
    <w:p w:rsidR="00F160DB" w:rsidRDefault="00F160DB" w:rsidP="00C37A53">
      <w:pPr>
        <w:ind w:left="-630"/>
        <w:jc w:val="both"/>
        <w:rPr>
          <w:rFonts w:ascii="Times New Roman" w:hAnsi="Times New Roman"/>
          <w:b/>
          <w:sz w:val="28"/>
          <w:szCs w:val="28"/>
        </w:rPr>
      </w:pPr>
    </w:p>
    <w:p w:rsidR="00433DC3" w:rsidRDefault="00433DC3" w:rsidP="000434CC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>The traditional forms of a legal remedy are money damages or recovery of real and personal property.</w:t>
      </w:r>
      <w:r w:rsidR="001477EF">
        <w:rPr>
          <w:rFonts w:ascii="Times New Roman" w:hAnsi="Times New Roman"/>
          <w:sz w:val="28"/>
          <w:szCs w:val="28"/>
        </w:rPr>
        <w:t xml:space="preserve"> </w:t>
      </w:r>
      <w:r w:rsidR="001477EF">
        <w:rPr>
          <w:rFonts w:ascii="Times New Roman" w:hAnsi="Times New Roman"/>
          <w:i/>
          <w:sz w:val="28"/>
          <w:szCs w:val="28"/>
        </w:rPr>
        <w:t>See e.g.,</w:t>
      </w:r>
      <w:r w:rsidR="00F506DD">
        <w:rPr>
          <w:rFonts w:ascii="Times New Roman" w:hAnsi="Times New Roman"/>
          <w:i/>
          <w:sz w:val="28"/>
          <w:szCs w:val="28"/>
        </w:rPr>
        <w:t xml:space="preserve"> </w:t>
      </w:r>
      <w:r w:rsidRPr="00FE005E">
        <w:rPr>
          <w:rFonts w:ascii="Times New Roman" w:hAnsi="Times New Roman"/>
          <w:i/>
          <w:sz w:val="28"/>
          <w:szCs w:val="28"/>
        </w:rPr>
        <w:t>Mertens v. Hewitt Assocs</w:t>
      </w:r>
      <w:r w:rsidRPr="00FE005E">
        <w:rPr>
          <w:rFonts w:ascii="Times New Roman" w:hAnsi="Times New Roman"/>
          <w:sz w:val="28"/>
          <w:szCs w:val="28"/>
        </w:rPr>
        <w:t xml:space="preserve">., 508 U.S. 248, 255 (1993); </w:t>
      </w:r>
      <w:r w:rsidRPr="00FE005E">
        <w:rPr>
          <w:rFonts w:ascii="Times New Roman" w:hAnsi="Times New Roman"/>
          <w:i/>
          <w:sz w:val="28"/>
          <w:szCs w:val="28"/>
        </w:rPr>
        <w:t>Pernell v. Southall Realty</w:t>
      </w:r>
      <w:r w:rsidRPr="00FE005E">
        <w:rPr>
          <w:rFonts w:ascii="Times New Roman" w:hAnsi="Times New Roman"/>
          <w:sz w:val="28"/>
          <w:szCs w:val="28"/>
        </w:rPr>
        <w:t xml:space="preserve">, 416 U.S. 363, 370 (1974); </w:t>
      </w:r>
      <w:r w:rsidRPr="00FE005E">
        <w:rPr>
          <w:rFonts w:ascii="Times New Roman" w:hAnsi="Times New Roman"/>
          <w:i/>
          <w:sz w:val="28"/>
          <w:szCs w:val="28"/>
        </w:rPr>
        <w:t>Scott v. Neely</w:t>
      </w:r>
      <w:r w:rsidRPr="00FE005E">
        <w:rPr>
          <w:rFonts w:ascii="Times New Roman" w:hAnsi="Times New Roman"/>
          <w:sz w:val="28"/>
          <w:szCs w:val="28"/>
        </w:rPr>
        <w:t xml:space="preserve">, 140 U.S. 106, 110 (1891); </w:t>
      </w:r>
      <w:r w:rsidRPr="00FE005E">
        <w:rPr>
          <w:rFonts w:ascii="Times New Roman" w:hAnsi="Times New Roman"/>
          <w:i/>
          <w:sz w:val="28"/>
          <w:szCs w:val="28"/>
        </w:rPr>
        <w:t>Whitehead v. Shattuck</w:t>
      </w:r>
      <w:r w:rsidRPr="00FE005E">
        <w:rPr>
          <w:rFonts w:ascii="Times New Roman" w:hAnsi="Times New Roman"/>
          <w:sz w:val="28"/>
          <w:szCs w:val="28"/>
        </w:rPr>
        <w:t>, 138 U.S. 146, 151 (1891).</w:t>
      </w:r>
    </w:p>
    <w:p w:rsidR="00F160DB" w:rsidRDefault="00F160DB" w:rsidP="000434CC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F160DB" w:rsidRPr="00FE005E" w:rsidRDefault="00F160DB" w:rsidP="000434CC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C82FED" w:rsidRPr="00FE005E" w:rsidRDefault="00C82FED" w:rsidP="00237DEE">
      <w:pPr>
        <w:pStyle w:val="ListParagraph"/>
        <w:numPr>
          <w:ilvl w:val="0"/>
          <w:numId w:val="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t>Injunctive Relief</w:t>
      </w:r>
      <w:r w:rsidR="00E55C5A" w:rsidRPr="00FE005E">
        <w:rPr>
          <w:rFonts w:ascii="Times New Roman" w:hAnsi="Times New Roman"/>
          <w:b/>
          <w:sz w:val="28"/>
          <w:szCs w:val="28"/>
        </w:rPr>
        <w:t xml:space="preserve"> and Disgorgement</w:t>
      </w:r>
    </w:p>
    <w:p w:rsidR="001477EF" w:rsidRPr="00FE005E" w:rsidRDefault="001477EF" w:rsidP="00C37A53">
      <w:pPr>
        <w:jc w:val="both"/>
        <w:rPr>
          <w:rFonts w:ascii="Times New Roman" w:hAnsi="Times New Roman"/>
          <w:b/>
          <w:sz w:val="28"/>
          <w:szCs w:val="28"/>
        </w:rPr>
      </w:pPr>
    </w:p>
    <w:p w:rsidR="00012143" w:rsidRPr="00FE005E" w:rsidRDefault="00E16F6C" w:rsidP="000434CC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 xml:space="preserve">If the plaintiff seeks only an injunction, and not patent damages, and the defendant raises defenses only, without counterclaims, there is no right to a trial by jury. </w:t>
      </w:r>
      <w:r w:rsidR="000434CC">
        <w:rPr>
          <w:rFonts w:ascii="Times New Roman" w:hAnsi="Times New Roman"/>
          <w:sz w:val="28"/>
          <w:szCs w:val="28"/>
        </w:rPr>
        <w:t xml:space="preserve"> </w:t>
      </w:r>
      <w:r w:rsidR="000434CC">
        <w:rPr>
          <w:rFonts w:ascii="Times New Roman" w:hAnsi="Times New Roman"/>
          <w:i/>
          <w:sz w:val="28"/>
          <w:szCs w:val="28"/>
        </w:rPr>
        <w:t xml:space="preserve">See e.g., </w:t>
      </w:r>
      <w:r w:rsidRPr="000434CC">
        <w:rPr>
          <w:rFonts w:ascii="Times New Roman" w:hAnsi="Times New Roman"/>
          <w:i/>
          <w:sz w:val="28"/>
          <w:szCs w:val="28"/>
        </w:rPr>
        <w:t>Texas Advanced Optoelectronic Solutions, Inc. v. Renesas Electronics Am.</w:t>
      </w:r>
      <w:r w:rsidRPr="00FE005E">
        <w:rPr>
          <w:rFonts w:ascii="Times New Roman" w:hAnsi="Times New Roman"/>
          <w:sz w:val="28"/>
          <w:szCs w:val="28"/>
        </w:rPr>
        <w:t>, 895 F.3d 1304 (Fed. Cir. 2018) (holding</w:t>
      </w:r>
      <w:r w:rsidR="00E55C5A" w:rsidRPr="00FE005E">
        <w:rPr>
          <w:rFonts w:ascii="Times New Roman" w:hAnsi="Times New Roman"/>
          <w:sz w:val="28"/>
          <w:szCs w:val="28"/>
        </w:rPr>
        <w:t xml:space="preserve"> disgorgement of profits in a trade secret case does not invoke the right to trial by jury</w:t>
      </w:r>
      <w:r w:rsidRPr="00FE005E">
        <w:rPr>
          <w:rFonts w:ascii="Times New Roman" w:hAnsi="Times New Roman"/>
          <w:sz w:val="28"/>
          <w:szCs w:val="28"/>
        </w:rPr>
        <w:t xml:space="preserve">, </w:t>
      </w:r>
      <w:r w:rsidR="00E55C5A" w:rsidRPr="00FE005E">
        <w:rPr>
          <w:rFonts w:ascii="Times New Roman" w:hAnsi="Times New Roman"/>
          <w:sz w:val="28"/>
          <w:szCs w:val="28"/>
        </w:rPr>
        <w:t xml:space="preserve">relying on </w:t>
      </w:r>
      <w:r w:rsidRPr="00FE005E">
        <w:rPr>
          <w:rFonts w:ascii="Times New Roman" w:hAnsi="Times New Roman"/>
          <w:sz w:val="28"/>
          <w:szCs w:val="28"/>
        </w:rPr>
        <w:t>patent cases treating disgorgement as equitable rather than legal remedy).</w:t>
      </w:r>
    </w:p>
    <w:p w:rsidR="00C82FED" w:rsidRDefault="00C82FED" w:rsidP="00C37A53">
      <w:pPr>
        <w:jc w:val="both"/>
        <w:rPr>
          <w:rFonts w:ascii="Times New Roman" w:hAnsi="Times New Roman"/>
          <w:b/>
          <w:sz w:val="28"/>
          <w:szCs w:val="28"/>
        </w:rPr>
      </w:pPr>
    </w:p>
    <w:p w:rsidR="00F160DB" w:rsidRPr="00FE005E" w:rsidRDefault="00F160DB" w:rsidP="00C37A53">
      <w:pPr>
        <w:jc w:val="both"/>
        <w:rPr>
          <w:rFonts w:ascii="Times New Roman" w:hAnsi="Times New Roman"/>
          <w:b/>
          <w:sz w:val="28"/>
          <w:szCs w:val="28"/>
        </w:rPr>
      </w:pPr>
    </w:p>
    <w:p w:rsidR="00433DC3" w:rsidRPr="00FE005E" w:rsidRDefault="00F21F19" w:rsidP="00237DEE">
      <w:pPr>
        <w:pStyle w:val="ListParagraph"/>
        <w:numPr>
          <w:ilvl w:val="0"/>
          <w:numId w:val="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t xml:space="preserve">The Declaratory Judgement </w:t>
      </w:r>
    </w:p>
    <w:p w:rsidR="00F21F19" w:rsidRPr="00FE005E" w:rsidRDefault="00F21F19" w:rsidP="00C37A53">
      <w:pPr>
        <w:pStyle w:val="ListParagraph"/>
        <w:ind w:left="90"/>
        <w:jc w:val="both"/>
        <w:rPr>
          <w:rFonts w:ascii="Times New Roman" w:hAnsi="Times New Roman"/>
          <w:b/>
          <w:sz w:val="28"/>
          <w:szCs w:val="28"/>
        </w:rPr>
      </w:pPr>
    </w:p>
    <w:p w:rsidR="00012143" w:rsidRPr="00FE005E" w:rsidRDefault="00F21F19" w:rsidP="000434CC">
      <w:pPr>
        <w:ind w:left="720" w:right="720"/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>D</w:t>
      </w:r>
      <w:r w:rsidR="00E16F6C" w:rsidRPr="00FE005E">
        <w:rPr>
          <w:rFonts w:ascii="Times New Roman" w:hAnsi="Times New Roman"/>
          <w:sz w:val="28"/>
          <w:szCs w:val="28"/>
        </w:rPr>
        <w:t xml:space="preserve">eclaratory relief is essentially “an equitable cause of action” and “is analogous to the equity jurisdiction in suits </w:t>
      </w:r>
      <w:r w:rsidR="00E16F6C" w:rsidRPr="00FE005E">
        <w:rPr>
          <w:rFonts w:ascii="Times New Roman" w:hAnsi="Times New Roman"/>
          <w:i/>
          <w:iCs/>
          <w:sz w:val="28"/>
          <w:szCs w:val="28"/>
        </w:rPr>
        <w:t>quia timet</w:t>
      </w:r>
      <w:r w:rsidR="00E16F6C" w:rsidRPr="00FE005E">
        <w:rPr>
          <w:rFonts w:ascii="Times New Roman" w:hAnsi="Times New Roman"/>
          <w:sz w:val="28"/>
          <w:szCs w:val="28"/>
        </w:rPr>
        <w:t xml:space="preserve"> or for a decree quieting title.”</w:t>
      </w:r>
    </w:p>
    <w:p w:rsidR="00F21F19" w:rsidRDefault="00F21F19" w:rsidP="00C37A53">
      <w:pPr>
        <w:jc w:val="both"/>
        <w:rPr>
          <w:rFonts w:ascii="Times New Roman" w:hAnsi="Times New Roman"/>
          <w:sz w:val="28"/>
          <w:szCs w:val="28"/>
        </w:rPr>
      </w:pPr>
    </w:p>
    <w:p w:rsidR="000434CC" w:rsidRPr="00FE005E" w:rsidRDefault="000434CC" w:rsidP="000434CC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i/>
          <w:iCs/>
          <w:sz w:val="28"/>
          <w:szCs w:val="28"/>
        </w:rPr>
        <w:t>Great Lakes and Dock Co. v. Huffman</w:t>
      </w:r>
      <w:r w:rsidRPr="00FE005E">
        <w:rPr>
          <w:rFonts w:ascii="Times New Roman" w:hAnsi="Times New Roman"/>
          <w:sz w:val="28"/>
          <w:szCs w:val="28"/>
        </w:rPr>
        <w:t>, 319 U.S. 293, 300 (1943)</w:t>
      </w:r>
      <w:r w:rsidR="00237DEE">
        <w:rPr>
          <w:rFonts w:ascii="Times New Roman" w:hAnsi="Times New Roman"/>
          <w:sz w:val="28"/>
          <w:szCs w:val="28"/>
        </w:rPr>
        <w:t>.</w:t>
      </w:r>
    </w:p>
    <w:p w:rsidR="000434CC" w:rsidRPr="00FE005E" w:rsidRDefault="000434CC" w:rsidP="00C37A53">
      <w:pPr>
        <w:jc w:val="both"/>
        <w:rPr>
          <w:rFonts w:ascii="Times New Roman" w:hAnsi="Times New Roman"/>
          <w:sz w:val="28"/>
          <w:szCs w:val="28"/>
        </w:rPr>
      </w:pPr>
    </w:p>
    <w:p w:rsidR="00012143" w:rsidRPr="00FE005E" w:rsidRDefault="00E16F6C" w:rsidP="00C37A53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bCs/>
          <w:iCs/>
          <w:sz w:val="28"/>
          <w:szCs w:val="28"/>
        </w:rPr>
        <w:t>But</w:t>
      </w:r>
      <w:r w:rsidRPr="00FE005E">
        <w:rPr>
          <w:rFonts w:ascii="Times New Roman" w:hAnsi="Times New Roman"/>
          <w:sz w:val="28"/>
          <w:szCs w:val="28"/>
        </w:rPr>
        <w:t xml:space="preserve"> when a Declaratory Judgment claim simply anticipates a claim at law, it cannot undermine the right to trial by jury. </w:t>
      </w:r>
    </w:p>
    <w:p w:rsidR="00F21F19" w:rsidRPr="00FE005E" w:rsidRDefault="00F21F19" w:rsidP="00C37A53">
      <w:pPr>
        <w:jc w:val="both"/>
        <w:rPr>
          <w:rFonts w:ascii="Times New Roman" w:hAnsi="Times New Roman"/>
          <w:sz w:val="28"/>
          <w:szCs w:val="28"/>
        </w:rPr>
      </w:pPr>
    </w:p>
    <w:p w:rsidR="000434CC" w:rsidRDefault="00F21F19" w:rsidP="000434CC">
      <w:pPr>
        <w:ind w:left="720" w:right="720"/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>Whether a claim for declaratory judgment, which did not exist in 1791, is properly classified as legal or equitable turns on the underlying controversy on which is founded.</w:t>
      </w:r>
    </w:p>
    <w:p w:rsidR="000434CC" w:rsidRDefault="000434CC" w:rsidP="00C37A53">
      <w:pPr>
        <w:jc w:val="both"/>
        <w:rPr>
          <w:rFonts w:ascii="Times New Roman" w:hAnsi="Times New Roman"/>
          <w:sz w:val="28"/>
          <w:szCs w:val="28"/>
        </w:rPr>
      </w:pPr>
    </w:p>
    <w:p w:rsidR="00012143" w:rsidRPr="00FE005E" w:rsidRDefault="005A4F28" w:rsidP="00C37A53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i/>
          <w:iCs/>
          <w:sz w:val="28"/>
          <w:szCs w:val="28"/>
        </w:rPr>
        <w:t>In re Lockwood</w:t>
      </w:r>
      <w:r w:rsidRPr="00FE005E">
        <w:rPr>
          <w:rFonts w:ascii="Times New Roman" w:hAnsi="Times New Roman"/>
          <w:sz w:val="28"/>
          <w:szCs w:val="28"/>
        </w:rPr>
        <w:t xml:space="preserve">, 50 F.3d 966, 973 (Fed. Cir. 1995), </w:t>
      </w:r>
      <w:r w:rsidRPr="00FE005E">
        <w:rPr>
          <w:rFonts w:ascii="Times New Roman" w:hAnsi="Times New Roman"/>
          <w:i/>
          <w:iCs/>
          <w:sz w:val="28"/>
          <w:szCs w:val="28"/>
        </w:rPr>
        <w:t>vacated</w:t>
      </w:r>
      <w:r w:rsidRPr="00FE005E">
        <w:rPr>
          <w:rFonts w:ascii="Times New Roman" w:hAnsi="Times New Roman"/>
          <w:sz w:val="28"/>
          <w:szCs w:val="28"/>
        </w:rPr>
        <w:t xml:space="preserve"> 515 U.S. 1182 (1995); </w:t>
      </w:r>
      <w:r w:rsidRPr="00FE005E">
        <w:rPr>
          <w:rFonts w:ascii="Times New Roman" w:hAnsi="Times New Roman"/>
          <w:i/>
          <w:iCs/>
          <w:sz w:val="28"/>
          <w:szCs w:val="28"/>
        </w:rPr>
        <w:t>s</w:t>
      </w:r>
      <w:r w:rsidR="00E16F6C" w:rsidRPr="00FE005E">
        <w:rPr>
          <w:rFonts w:ascii="Times New Roman" w:hAnsi="Times New Roman"/>
          <w:i/>
          <w:iCs/>
          <w:sz w:val="28"/>
          <w:szCs w:val="28"/>
        </w:rPr>
        <w:t>ee also In re Tech. Licensing Corp</w:t>
      </w:r>
      <w:r w:rsidR="00E16F6C" w:rsidRPr="00FE005E">
        <w:rPr>
          <w:rFonts w:ascii="Times New Roman" w:hAnsi="Times New Roman"/>
          <w:sz w:val="28"/>
          <w:szCs w:val="28"/>
        </w:rPr>
        <w:t>., 423 F.3d 1286, 1289 (Fed Cir. 2005) (per curiam).</w:t>
      </w:r>
    </w:p>
    <w:p w:rsidR="00F21F19" w:rsidRDefault="00F21F19" w:rsidP="00C37A53">
      <w:pPr>
        <w:jc w:val="both"/>
        <w:rPr>
          <w:rFonts w:ascii="Times New Roman" w:hAnsi="Times New Roman"/>
          <w:sz w:val="28"/>
          <w:szCs w:val="28"/>
        </w:rPr>
      </w:pPr>
    </w:p>
    <w:p w:rsidR="00F57916" w:rsidRDefault="00F57916" w:rsidP="00C37A53">
      <w:pPr>
        <w:jc w:val="both"/>
        <w:rPr>
          <w:rFonts w:ascii="Times New Roman" w:hAnsi="Times New Roman"/>
          <w:sz w:val="28"/>
          <w:szCs w:val="28"/>
        </w:rPr>
      </w:pPr>
    </w:p>
    <w:p w:rsidR="00F57916" w:rsidRDefault="00F57916" w:rsidP="00C37A53">
      <w:pPr>
        <w:jc w:val="both"/>
        <w:rPr>
          <w:rFonts w:ascii="Times New Roman" w:hAnsi="Times New Roman"/>
          <w:sz w:val="28"/>
          <w:szCs w:val="28"/>
        </w:rPr>
      </w:pPr>
    </w:p>
    <w:p w:rsidR="00F57916" w:rsidRPr="00FE005E" w:rsidRDefault="00F57916" w:rsidP="00C37A53">
      <w:pPr>
        <w:jc w:val="both"/>
        <w:rPr>
          <w:rFonts w:ascii="Times New Roman" w:hAnsi="Times New Roman"/>
          <w:sz w:val="28"/>
          <w:szCs w:val="28"/>
        </w:rPr>
      </w:pPr>
    </w:p>
    <w:p w:rsidR="00C62585" w:rsidRPr="00FE005E" w:rsidRDefault="00FA52AF" w:rsidP="00237DEE">
      <w:pPr>
        <w:pStyle w:val="ListParagraph"/>
        <w:numPr>
          <w:ilvl w:val="0"/>
          <w:numId w:val="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lastRenderedPageBreak/>
        <w:t xml:space="preserve">1970-80: </w:t>
      </w:r>
      <w:r w:rsidR="009D0A67" w:rsidRPr="00FE005E">
        <w:rPr>
          <w:rFonts w:ascii="Times New Roman" w:hAnsi="Times New Roman"/>
          <w:b/>
          <w:sz w:val="28"/>
          <w:szCs w:val="28"/>
        </w:rPr>
        <w:t xml:space="preserve">Right to Trial by </w:t>
      </w:r>
      <w:r w:rsidR="00C62585" w:rsidRPr="00FE005E">
        <w:rPr>
          <w:rFonts w:ascii="Times New Roman" w:hAnsi="Times New Roman"/>
          <w:b/>
          <w:sz w:val="28"/>
          <w:szCs w:val="28"/>
        </w:rPr>
        <w:t>Jur</w:t>
      </w:r>
      <w:r w:rsidR="009D0A67" w:rsidRPr="00FE005E">
        <w:rPr>
          <w:rFonts w:ascii="Times New Roman" w:hAnsi="Times New Roman"/>
          <w:b/>
          <w:sz w:val="28"/>
          <w:szCs w:val="28"/>
        </w:rPr>
        <w:t xml:space="preserve">y </w:t>
      </w:r>
      <w:r w:rsidR="00C62585" w:rsidRPr="00FE005E">
        <w:rPr>
          <w:rFonts w:ascii="Times New Roman" w:hAnsi="Times New Roman"/>
          <w:b/>
          <w:sz w:val="28"/>
          <w:szCs w:val="28"/>
        </w:rPr>
        <w:t>in Complex Cases</w:t>
      </w:r>
    </w:p>
    <w:p w:rsidR="00CD68C6" w:rsidRPr="00FE005E" w:rsidRDefault="00CD68C6" w:rsidP="00C37A53">
      <w:pPr>
        <w:ind w:left="90"/>
        <w:jc w:val="both"/>
        <w:rPr>
          <w:rFonts w:ascii="Times New Roman" w:hAnsi="Times New Roman"/>
          <w:sz w:val="28"/>
          <w:szCs w:val="28"/>
        </w:rPr>
      </w:pPr>
    </w:p>
    <w:p w:rsidR="00404108" w:rsidRPr="00FE005E" w:rsidRDefault="00404108" w:rsidP="00C37A53">
      <w:pPr>
        <w:ind w:left="720" w:right="720"/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  <w:lang w:val="en"/>
        </w:rPr>
        <w:t xml:space="preserve">As our cases indicate, the "legal" nature of an issue is determined by considering, first, the pre-merger custom with reference to such questions; second, the remedy sought; and, third, </w:t>
      </w:r>
      <w:r w:rsidRPr="00FE005E">
        <w:rPr>
          <w:rFonts w:ascii="Times New Roman" w:hAnsi="Times New Roman"/>
          <w:i/>
          <w:sz w:val="28"/>
          <w:szCs w:val="28"/>
          <w:lang w:val="en"/>
        </w:rPr>
        <w:t>the practical abilities and limitations of juries</w:t>
      </w:r>
      <w:r w:rsidRPr="00FE005E">
        <w:rPr>
          <w:rFonts w:ascii="Times New Roman" w:hAnsi="Times New Roman"/>
          <w:sz w:val="28"/>
          <w:szCs w:val="28"/>
          <w:lang w:val="en"/>
        </w:rPr>
        <w:t xml:space="preserve">. Of these factors, the first, requiring extensive and possibly abstruse historical inquiry, is obviously the most difficult to apply. </w:t>
      </w:r>
    </w:p>
    <w:p w:rsidR="00DD3E35" w:rsidRDefault="00DD3E35" w:rsidP="00C37A53">
      <w:pPr>
        <w:ind w:left="90"/>
        <w:jc w:val="both"/>
        <w:rPr>
          <w:rFonts w:ascii="Times New Roman" w:hAnsi="Times New Roman"/>
          <w:sz w:val="28"/>
          <w:szCs w:val="28"/>
        </w:rPr>
      </w:pPr>
    </w:p>
    <w:p w:rsidR="000434CC" w:rsidRPr="00FE005E" w:rsidRDefault="000434CC" w:rsidP="000434CC">
      <w:pPr>
        <w:ind w:left="90"/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i/>
          <w:sz w:val="28"/>
          <w:szCs w:val="28"/>
        </w:rPr>
        <w:t>Ross v. Bernhard</w:t>
      </w:r>
      <w:r w:rsidRPr="00FE005E">
        <w:rPr>
          <w:rFonts w:ascii="Times New Roman" w:hAnsi="Times New Roman"/>
          <w:sz w:val="28"/>
          <w:szCs w:val="28"/>
        </w:rPr>
        <w:t>, 396 U.S. at 538 n.10 (emphasis added)</w:t>
      </w:r>
      <w:r w:rsidR="00F506DD">
        <w:rPr>
          <w:rFonts w:ascii="Times New Roman" w:hAnsi="Times New Roman"/>
          <w:sz w:val="28"/>
          <w:szCs w:val="28"/>
        </w:rPr>
        <w:t>.</w:t>
      </w:r>
    </w:p>
    <w:p w:rsidR="000434CC" w:rsidRPr="00FE005E" w:rsidRDefault="000434CC" w:rsidP="00C37A53">
      <w:pPr>
        <w:ind w:left="90"/>
        <w:jc w:val="both"/>
        <w:rPr>
          <w:rFonts w:ascii="Times New Roman" w:hAnsi="Times New Roman"/>
          <w:sz w:val="28"/>
          <w:szCs w:val="28"/>
        </w:rPr>
      </w:pPr>
    </w:p>
    <w:p w:rsidR="003B37BE" w:rsidRPr="00FE005E" w:rsidRDefault="00525003" w:rsidP="00C37A53">
      <w:pPr>
        <w:ind w:left="90"/>
        <w:jc w:val="both"/>
        <w:rPr>
          <w:rFonts w:ascii="Times New Roman" w:hAnsi="Times New Roman"/>
          <w:sz w:val="28"/>
          <w:szCs w:val="28"/>
          <w:lang w:val="en"/>
        </w:rPr>
      </w:pPr>
      <w:r w:rsidRPr="00FE005E">
        <w:rPr>
          <w:rFonts w:ascii="Times New Roman" w:hAnsi="Times New Roman"/>
          <w:sz w:val="28"/>
          <w:szCs w:val="28"/>
        </w:rPr>
        <w:t xml:space="preserve">A judicially created </w:t>
      </w:r>
      <w:r w:rsidR="00FA52AF" w:rsidRPr="00FE005E">
        <w:rPr>
          <w:rFonts w:ascii="Times New Roman" w:hAnsi="Times New Roman"/>
          <w:sz w:val="28"/>
          <w:szCs w:val="28"/>
        </w:rPr>
        <w:t>“</w:t>
      </w:r>
      <w:r w:rsidR="00D0000F" w:rsidRPr="00FE005E">
        <w:rPr>
          <w:rFonts w:ascii="Times New Roman" w:hAnsi="Times New Roman"/>
          <w:sz w:val="28"/>
          <w:szCs w:val="28"/>
        </w:rPr>
        <w:t>complexity exception</w:t>
      </w:r>
      <w:r w:rsidR="00FA52AF" w:rsidRPr="00FE005E">
        <w:rPr>
          <w:rFonts w:ascii="Times New Roman" w:hAnsi="Times New Roman"/>
          <w:sz w:val="28"/>
          <w:szCs w:val="28"/>
        </w:rPr>
        <w:t>”</w:t>
      </w:r>
      <w:r w:rsidR="00D0000F" w:rsidRPr="00FE005E">
        <w:rPr>
          <w:rFonts w:ascii="Times New Roman" w:hAnsi="Times New Roman"/>
          <w:sz w:val="28"/>
          <w:szCs w:val="28"/>
        </w:rPr>
        <w:t xml:space="preserve"> </w:t>
      </w:r>
      <w:r w:rsidR="00FA52AF" w:rsidRPr="00FE005E">
        <w:rPr>
          <w:rFonts w:ascii="Times New Roman" w:hAnsi="Times New Roman"/>
          <w:sz w:val="28"/>
          <w:szCs w:val="28"/>
        </w:rPr>
        <w:t>caus</w:t>
      </w:r>
      <w:r w:rsidRPr="00FE005E">
        <w:rPr>
          <w:rFonts w:ascii="Times New Roman" w:hAnsi="Times New Roman"/>
          <w:sz w:val="28"/>
          <w:szCs w:val="28"/>
        </w:rPr>
        <w:t xml:space="preserve">ed </w:t>
      </w:r>
      <w:r w:rsidR="00E8732C" w:rsidRPr="00FE005E">
        <w:rPr>
          <w:rFonts w:ascii="Times New Roman" w:hAnsi="Times New Roman"/>
          <w:sz w:val="28"/>
          <w:szCs w:val="28"/>
        </w:rPr>
        <w:t xml:space="preserve">some </w:t>
      </w:r>
      <w:r w:rsidR="00FA52AF" w:rsidRPr="00FE005E">
        <w:rPr>
          <w:rFonts w:ascii="Times New Roman" w:hAnsi="Times New Roman"/>
          <w:sz w:val="28"/>
          <w:szCs w:val="28"/>
        </w:rPr>
        <w:t xml:space="preserve">courts to </w:t>
      </w:r>
      <w:r w:rsidR="00D0000F" w:rsidRPr="00FE005E">
        <w:rPr>
          <w:rFonts w:ascii="Times New Roman" w:hAnsi="Times New Roman"/>
          <w:sz w:val="28"/>
          <w:szCs w:val="28"/>
        </w:rPr>
        <w:t>strik</w:t>
      </w:r>
      <w:r w:rsidR="00FA52AF" w:rsidRPr="00FE005E">
        <w:rPr>
          <w:rFonts w:ascii="Times New Roman" w:hAnsi="Times New Roman"/>
          <w:sz w:val="28"/>
          <w:szCs w:val="28"/>
        </w:rPr>
        <w:t>e</w:t>
      </w:r>
      <w:r w:rsidR="00D0000F" w:rsidRPr="00FE005E">
        <w:rPr>
          <w:rFonts w:ascii="Times New Roman" w:hAnsi="Times New Roman"/>
          <w:sz w:val="28"/>
          <w:szCs w:val="28"/>
        </w:rPr>
        <w:t xml:space="preserve"> jury demands.  </w:t>
      </w:r>
      <w:r w:rsidR="000F6DF2" w:rsidRPr="00FE005E">
        <w:rPr>
          <w:rFonts w:ascii="Times New Roman" w:hAnsi="Times New Roman"/>
          <w:i/>
          <w:sz w:val="28"/>
          <w:szCs w:val="28"/>
          <w:lang w:val="en"/>
        </w:rPr>
        <w:t xml:space="preserve">See </w:t>
      </w:r>
      <w:r w:rsidR="000434CC">
        <w:rPr>
          <w:rFonts w:ascii="Times New Roman" w:hAnsi="Times New Roman"/>
          <w:i/>
          <w:sz w:val="28"/>
          <w:szCs w:val="28"/>
          <w:lang w:val="en"/>
        </w:rPr>
        <w:t xml:space="preserve">e.g., </w:t>
      </w:r>
      <w:r w:rsidR="000F6DF2" w:rsidRPr="00FE005E">
        <w:rPr>
          <w:rFonts w:ascii="Times New Roman" w:hAnsi="Times New Roman"/>
          <w:i/>
          <w:sz w:val="28"/>
          <w:szCs w:val="28"/>
          <w:lang w:val="en"/>
        </w:rPr>
        <w:t>In re Japanese Elec. Prods. Antitrust Litigation</w:t>
      </w:r>
      <w:r w:rsidR="000F6DF2" w:rsidRPr="00FE005E">
        <w:rPr>
          <w:rFonts w:ascii="Times New Roman" w:hAnsi="Times New Roman"/>
          <w:sz w:val="28"/>
          <w:szCs w:val="28"/>
          <w:lang w:val="en"/>
        </w:rPr>
        <w:t xml:space="preserve">, 631 F.2d 1069 (3d Cir. 1980); </w:t>
      </w:r>
      <w:r w:rsidR="000F6DF2" w:rsidRPr="00FE005E">
        <w:rPr>
          <w:rFonts w:ascii="Times New Roman" w:hAnsi="Times New Roman"/>
          <w:i/>
          <w:sz w:val="28"/>
          <w:szCs w:val="28"/>
          <w:lang w:val="en"/>
        </w:rPr>
        <w:t>Bernstein v. Universal Pictures, Inc.</w:t>
      </w:r>
      <w:r w:rsidR="000F6DF2" w:rsidRPr="00FE005E">
        <w:rPr>
          <w:rFonts w:ascii="Times New Roman" w:hAnsi="Times New Roman"/>
          <w:sz w:val="28"/>
          <w:szCs w:val="28"/>
          <w:lang w:val="en"/>
        </w:rPr>
        <w:t xml:space="preserve">, 79 F.R.D. 59 (S.D.N.Y. 1978); </w:t>
      </w:r>
      <w:r w:rsidR="000F6DF2" w:rsidRPr="00FE005E">
        <w:rPr>
          <w:rFonts w:ascii="Times New Roman" w:hAnsi="Times New Roman"/>
          <w:i/>
          <w:sz w:val="28"/>
          <w:szCs w:val="28"/>
          <w:lang w:val="en"/>
        </w:rPr>
        <w:t>ILC Peripherals Leasing Corp. v. IBM Corp</w:t>
      </w:r>
      <w:r w:rsidR="000F6DF2" w:rsidRPr="00FE005E">
        <w:rPr>
          <w:rFonts w:ascii="Times New Roman" w:hAnsi="Times New Roman"/>
          <w:sz w:val="28"/>
          <w:szCs w:val="28"/>
          <w:lang w:val="en"/>
        </w:rPr>
        <w:t xml:space="preserve">., 458 F. Supp. 423 (N.D.Ca.1978), </w:t>
      </w:r>
      <w:r w:rsidR="000F6DF2" w:rsidRPr="00FE005E">
        <w:rPr>
          <w:rFonts w:ascii="Times New Roman" w:hAnsi="Times New Roman"/>
          <w:i/>
          <w:sz w:val="28"/>
          <w:szCs w:val="28"/>
          <w:lang w:val="en"/>
        </w:rPr>
        <w:t>aff'd on other grounds sub nom. Memorex Corp. v. IBM Corp</w:t>
      </w:r>
      <w:r w:rsidR="000F6DF2" w:rsidRPr="00FE005E">
        <w:rPr>
          <w:rFonts w:ascii="Times New Roman" w:hAnsi="Times New Roman"/>
          <w:sz w:val="28"/>
          <w:szCs w:val="28"/>
          <w:lang w:val="en"/>
        </w:rPr>
        <w:t xml:space="preserve">., 636 F.2d 1188 (9th Cir. 1980); </w:t>
      </w:r>
      <w:r w:rsidR="000F6DF2" w:rsidRPr="00FE005E">
        <w:rPr>
          <w:rFonts w:ascii="Times New Roman" w:hAnsi="Times New Roman"/>
          <w:i/>
          <w:sz w:val="28"/>
          <w:szCs w:val="28"/>
          <w:lang w:val="en"/>
        </w:rPr>
        <w:t>In re Boise Cascade Securities Litigation</w:t>
      </w:r>
      <w:r w:rsidR="000F6DF2" w:rsidRPr="00FE005E">
        <w:rPr>
          <w:rFonts w:ascii="Times New Roman" w:hAnsi="Times New Roman"/>
          <w:sz w:val="28"/>
          <w:szCs w:val="28"/>
          <w:lang w:val="en"/>
        </w:rPr>
        <w:t>, 420 F. Supp. 99 (W.D. Wash. 1976).</w:t>
      </w:r>
    </w:p>
    <w:p w:rsidR="00F57916" w:rsidRDefault="00F57916" w:rsidP="00C37A53">
      <w:pPr>
        <w:ind w:left="90"/>
        <w:jc w:val="both"/>
        <w:rPr>
          <w:rFonts w:ascii="Times New Roman" w:hAnsi="Times New Roman"/>
          <w:sz w:val="28"/>
          <w:szCs w:val="28"/>
        </w:rPr>
      </w:pPr>
    </w:p>
    <w:p w:rsidR="00F160DB" w:rsidRDefault="00F160DB" w:rsidP="00C37A53">
      <w:pPr>
        <w:ind w:left="90"/>
        <w:jc w:val="both"/>
        <w:rPr>
          <w:rFonts w:ascii="Times New Roman" w:hAnsi="Times New Roman"/>
          <w:sz w:val="28"/>
          <w:szCs w:val="28"/>
        </w:rPr>
      </w:pPr>
    </w:p>
    <w:p w:rsidR="003B37BE" w:rsidRPr="00FE005E" w:rsidRDefault="003B37BE" w:rsidP="00237DEE">
      <w:pPr>
        <w:pStyle w:val="ListParagraph"/>
        <w:numPr>
          <w:ilvl w:val="0"/>
          <w:numId w:val="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t xml:space="preserve">The Federal </w:t>
      </w:r>
      <w:r w:rsidR="0050434D" w:rsidRPr="00FE005E">
        <w:rPr>
          <w:rFonts w:ascii="Times New Roman" w:hAnsi="Times New Roman"/>
          <w:b/>
          <w:sz w:val="28"/>
          <w:szCs w:val="28"/>
        </w:rPr>
        <w:t>Circuit’s Promoti</w:t>
      </w:r>
      <w:r w:rsidR="00C82FED" w:rsidRPr="00FE005E">
        <w:rPr>
          <w:rFonts w:ascii="Times New Roman" w:hAnsi="Times New Roman"/>
          <w:b/>
          <w:sz w:val="28"/>
          <w:szCs w:val="28"/>
        </w:rPr>
        <w:t xml:space="preserve">on of </w:t>
      </w:r>
      <w:r w:rsidR="0050434D" w:rsidRPr="00FE005E">
        <w:rPr>
          <w:rFonts w:ascii="Times New Roman" w:hAnsi="Times New Roman"/>
          <w:b/>
          <w:sz w:val="28"/>
          <w:szCs w:val="28"/>
        </w:rPr>
        <w:t>the Jury Trial i</w:t>
      </w:r>
      <w:r w:rsidRPr="00FE005E">
        <w:rPr>
          <w:rFonts w:ascii="Times New Roman" w:hAnsi="Times New Roman"/>
          <w:b/>
          <w:sz w:val="28"/>
          <w:szCs w:val="28"/>
        </w:rPr>
        <w:t xml:space="preserve">n Patent Cases  </w:t>
      </w:r>
    </w:p>
    <w:p w:rsidR="00F2127D" w:rsidRPr="00FE005E" w:rsidRDefault="00F2127D" w:rsidP="00C37A53">
      <w:pPr>
        <w:jc w:val="both"/>
        <w:rPr>
          <w:rFonts w:ascii="Times New Roman" w:hAnsi="Times New Roman"/>
          <w:sz w:val="28"/>
          <w:szCs w:val="28"/>
        </w:rPr>
      </w:pPr>
    </w:p>
    <w:p w:rsidR="00F2127D" w:rsidRPr="00FE005E" w:rsidRDefault="00EC5A18" w:rsidP="00C37A53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 xml:space="preserve">In the 1980s, </w:t>
      </w:r>
      <w:r w:rsidR="00F2127D" w:rsidRPr="00FE005E">
        <w:rPr>
          <w:rFonts w:ascii="Times New Roman" w:hAnsi="Times New Roman"/>
          <w:sz w:val="28"/>
          <w:szCs w:val="28"/>
        </w:rPr>
        <w:t>the Federal Circuit</w:t>
      </w:r>
      <w:r w:rsidR="00F506DD">
        <w:rPr>
          <w:rFonts w:ascii="Times New Roman" w:hAnsi="Times New Roman"/>
          <w:sz w:val="28"/>
          <w:szCs w:val="28"/>
        </w:rPr>
        <w:t xml:space="preserve">, </w:t>
      </w:r>
      <w:r w:rsidR="00F506DD" w:rsidRPr="00FE005E">
        <w:rPr>
          <w:rFonts w:ascii="Times New Roman" w:hAnsi="Times New Roman"/>
          <w:sz w:val="28"/>
          <w:szCs w:val="28"/>
        </w:rPr>
        <w:t xml:space="preserve">led by Chief Judge Markey, </w:t>
      </w:r>
      <w:r w:rsidR="00F2127D" w:rsidRPr="00FE005E">
        <w:rPr>
          <w:rFonts w:ascii="Times New Roman" w:hAnsi="Times New Roman"/>
          <w:sz w:val="28"/>
          <w:szCs w:val="28"/>
        </w:rPr>
        <w:t>defend</w:t>
      </w:r>
      <w:r w:rsidR="00F506DD">
        <w:rPr>
          <w:rFonts w:ascii="Times New Roman" w:hAnsi="Times New Roman"/>
          <w:sz w:val="28"/>
          <w:szCs w:val="28"/>
        </w:rPr>
        <w:t>ed</w:t>
      </w:r>
      <w:r w:rsidR="00F2127D" w:rsidRPr="00FE005E">
        <w:rPr>
          <w:rFonts w:ascii="Times New Roman" w:hAnsi="Times New Roman"/>
          <w:sz w:val="28"/>
          <w:szCs w:val="28"/>
        </w:rPr>
        <w:t xml:space="preserve"> the use of juries in </w:t>
      </w:r>
      <w:r w:rsidRPr="00FE005E">
        <w:rPr>
          <w:rFonts w:ascii="Times New Roman" w:hAnsi="Times New Roman"/>
          <w:sz w:val="28"/>
          <w:szCs w:val="28"/>
        </w:rPr>
        <w:t xml:space="preserve">complex </w:t>
      </w:r>
      <w:r w:rsidR="00F2127D" w:rsidRPr="00FE005E">
        <w:rPr>
          <w:rFonts w:ascii="Times New Roman" w:hAnsi="Times New Roman"/>
          <w:sz w:val="28"/>
          <w:szCs w:val="28"/>
        </w:rPr>
        <w:t>patent cases and instruct</w:t>
      </w:r>
      <w:r w:rsidR="00F506DD">
        <w:rPr>
          <w:rFonts w:ascii="Times New Roman" w:hAnsi="Times New Roman"/>
          <w:sz w:val="28"/>
          <w:szCs w:val="28"/>
        </w:rPr>
        <w:t>ed</w:t>
      </w:r>
      <w:r w:rsidR="00F2127D" w:rsidRPr="00FE005E">
        <w:rPr>
          <w:rFonts w:ascii="Times New Roman" w:hAnsi="Times New Roman"/>
          <w:sz w:val="28"/>
          <w:szCs w:val="28"/>
        </w:rPr>
        <w:t xml:space="preserve"> the court</w:t>
      </w:r>
      <w:r w:rsidR="005C294D" w:rsidRPr="00FE005E">
        <w:rPr>
          <w:rFonts w:ascii="Times New Roman" w:hAnsi="Times New Roman"/>
          <w:sz w:val="28"/>
          <w:szCs w:val="28"/>
        </w:rPr>
        <w:t>s</w:t>
      </w:r>
      <w:r w:rsidR="00F2127D" w:rsidRPr="00FE005E">
        <w:rPr>
          <w:rFonts w:ascii="Times New Roman" w:hAnsi="Times New Roman"/>
          <w:sz w:val="28"/>
          <w:szCs w:val="28"/>
        </w:rPr>
        <w:t xml:space="preserve"> and bar how to </w:t>
      </w:r>
      <w:r w:rsidR="00C017B4" w:rsidRPr="00FE005E">
        <w:rPr>
          <w:rFonts w:ascii="Times New Roman" w:hAnsi="Times New Roman"/>
          <w:sz w:val="28"/>
          <w:szCs w:val="28"/>
        </w:rPr>
        <w:t>handle such trials</w:t>
      </w:r>
      <w:r w:rsidR="00F2127D" w:rsidRPr="00FE005E">
        <w:rPr>
          <w:rFonts w:ascii="Times New Roman" w:hAnsi="Times New Roman"/>
          <w:sz w:val="28"/>
          <w:szCs w:val="28"/>
        </w:rPr>
        <w:t xml:space="preserve">.  </w:t>
      </w:r>
    </w:p>
    <w:p w:rsidR="00F2127D" w:rsidRPr="00FE005E" w:rsidRDefault="00F2127D" w:rsidP="00C37A53">
      <w:pPr>
        <w:jc w:val="both"/>
        <w:rPr>
          <w:rFonts w:ascii="Times New Roman" w:hAnsi="Times New Roman"/>
          <w:sz w:val="28"/>
          <w:szCs w:val="28"/>
        </w:rPr>
      </w:pPr>
    </w:p>
    <w:p w:rsidR="0008256D" w:rsidRPr="00FE005E" w:rsidRDefault="0008256D" w:rsidP="00C37A53">
      <w:pPr>
        <w:ind w:left="720" w:right="720"/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  <w:lang w:val="en"/>
        </w:rPr>
        <w:t>It is at least doubtful that the experiential background of any judge could match that of this particular jury</w:t>
      </w:r>
      <w:r w:rsidR="00F65251" w:rsidRPr="00FE005E">
        <w:rPr>
          <w:rFonts w:ascii="Times New Roman" w:hAnsi="Times New Roman"/>
          <w:sz w:val="28"/>
          <w:szCs w:val="28"/>
          <w:lang w:val="en"/>
        </w:rPr>
        <w:t xml:space="preserve"> [in the </w:t>
      </w:r>
      <w:r w:rsidR="00F65251" w:rsidRPr="00FE005E">
        <w:rPr>
          <w:rFonts w:ascii="Times New Roman" w:hAnsi="Times New Roman"/>
          <w:i/>
          <w:sz w:val="28"/>
          <w:szCs w:val="28"/>
          <w:lang w:val="en"/>
        </w:rPr>
        <w:t>MCI v. ATT</w:t>
      </w:r>
      <w:r w:rsidR="00F65251" w:rsidRPr="00FE005E">
        <w:rPr>
          <w:rFonts w:ascii="Times New Roman" w:hAnsi="Times New Roman"/>
          <w:sz w:val="28"/>
          <w:szCs w:val="28"/>
          <w:lang w:val="en"/>
        </w:rPr>
        <w:t xml:space="preserve"> antitrust trial].</w:t>
      </w:r>
      <w:r w:rsidRPr="00FE005E">
        <w:rPr>
          <w:rFonts w:ascii="Times New Roman" w:hAnsi="Times New Roman"/>
          <w:sz w:val="28"/>
          <w:szCs w:val="28"/>
          <w:lang w:val="en"/>
        </w:rPr>
        <w:t xml:space="preserve"> </w:t>
      </w:r>
      <w:r w:rsidR="00F65251" w:rsidRPr="00FE005E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FE005E">
        <w:rPr>
          <w:rFonts w:ascii="Times New Roman" w:hAnsi="Times New Roman"/>
          <w:sz w:val="28"/>
          <w:szCs w:val="28"/>
          <w:lang w:val="en"/>
        </w:rPr>
        <w:t>Jurors, if properly instructed and treated with deserved respect, bring collective intelligence, wisdom, and dedication to their tasks, which is rarely equaled in other areas of public service.</w:t>
      </w:r>
      <w:r w:rsidR="005746D5" w:rsidRPr="00FE005E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FE005E">
        <w:rPr>
          <w:rFonts w:ascii="Times New Roman" w:hAnsi="Times New Roman"/>
          <w:sz w:val="28"/>
          <w:szCs w:val="28"/>
          <w:lang w:val="en"/>
        </w:rPr>
        <w:t>... We do not accept [the view] that a single judge is brighter than the jurors, collectively functioning together.</w:t>
      </w:r>
    </w:p>
    <w:p w:rsidR="00EC5A18" w:rsidRDefault="00EC5A18" w:rsidP="00C37A53">
      <w:pPr>
        <w:jc w:val="both"/>
        <w:rPr>
          <w:rFonts w:ascii="Times New Roman" w:hAnsi="Times New Roman"/>
          <w:sz w:val="28"/>
          <w:szCs w:val="28"/>
        </w:rPr>
      </w:pPr>
    </w:p>
    <w:p w:rsidR="00F57916" w:rsidRPr="00FE005E" w:rsidRDefault="00F57916" w:rsidP="00F57916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i/>
          <w:sz w:val="28"/>
          <w:szCs w:val="28"/>
        </w:rPr>
        <w:t>SRI Int’l v. Matsushita Electric Corp</w:t>
      </w:r>
      <w:r w:rsidRPr="00FE005E">
        <w:rPr>
          <w:rFonts w:ascii="Times New Roman" w:hAnsi="Times New Roman"/>
          <w:sz w:val="28"/>
          <w:szCs w:val="28"/>
        </w:rPr>
        <w:t>., 775 F.2d 1107, 112</w:t>
      </w:r>
      <w:r>
        <w:rPr>
          <w:rFonts w:ascii="Times New Roman" w:hAnsi="Times New Roman"/>
          <w:sz w:val="28"/>
          <w:szCs w:val="28"/>
        </w:rPr>
        <w:t>8 n.7</w:t>
      </w:r>
      <w:r w:rsidRPr="00FE005E">
        <w:rPr>
          <w:rFonts w:ascii="Times New Roman" w:hAnsi="Times New Roman"/>
          <w:sz w:val="28"/>
          <w:szCs w:val="28"/>
        </w:rPr>
        <w:t xml:space="preserve"> (Fed. Cir. 1985) (Markey, C.J., additional views)</w:t>
      </w:r>
    </w:p>
    <w:p w:rsidR="00F57916" w:rsidRPr="00FE005E" w:rsidRDefault="00F57916" w:rsidP="00C37A53">
      <w:pPr>
        <w:jc w:val="both"/>
        <w:rPr>
          <w:rFonts w:ascii="Times New Roman" w:hAnsi="Times New Roman"/>
          <w:sz w:val="28"/>
          <w:szCs w:val="28"/>
        </w:rPr>
      </w:pPr>
    </w:p>
    <w:p w:rsidR="00F57916" w:rsidRDefault="009E1DEF" w:rsidP="00F57916">
      <w:pPr>
        <w:ind w:left="720" w:right="720"/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 xml:space="preserve">“The requirement is that trials be fair, not perfect.”  </w:t>
      </w:r>
    </w:p>
    <w:p w:rsidR="00F57916" w:rsidRDefault="00F57916" w:rsidP="00F57916">
      <w:pPr>
        <w:ind w:left="720" w:right="720"/>
        <w:jc w:val="both"/>
        <w:rPr>
          <w:rFonts w:ascii="Times New Roman" w:hAnsi="Times New Roman"/>
          <w:sz w:val="28"/>
          <w:szCs w:val="28"/>
        </w:rPr>
      </w:pPr>
    </w:p>
    <w:p w:rsidR="00F2127D" w:rsidRPr="00FE005E" w:rsidRDefault="009E1DEF" w:rsidP="00F57916">
      <w:pPr>
        <w:ind w:right="720"/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i/>
          <w:sz w:val="28"/>
          <w:szCs w:val="28"/>
        </w:rPr>
        <w:t>Id.</w:t>
      </w:r>
      <w:r w:rsidRPr="00FE005E">
        <w:rPr>
          <w:rFonts w:ascii="Times New Roman" w:hAnsi="Times New Roman"/>
          <w:sz w:val="28"/>
          <w:szCs w:val="28"/>
        </w:rPr>
        <w:t xml:space="preserve"> at 1128 n.6.  </w:t>
      </w:r>
    </w:p>
    <w:p w:rsidR="00F57916" w:rsidRPr="00FE005E" w:rsidRDefault="00F57916" w:rsidP="00C37A53">
      <w:pPr>
        <w:jc w:val="both"/>
        <w:rPr>
          <w:rFonts w:ascii="Times New Roman" w:hAnsi="Times New Roman"/>
          <w:sz w:val="28"/>
          <w:szCs w:val="28"/>
        </w:rPr>
      </w:pPr>
    </w:p>
    <w:p w:rsidR="00292388" w:rsidRDefault="00F2127D" w:rsidP="00C37A53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 xml:space="preserve">In 1995, Chief Judge Nies of the Federal Circuit observed that the Supreme Court reported that only 13 of 382 patent trials went to a jury during </w:t>
      </w:r>
      <w:r w:rsidR="005746D5" w:rsidRPr="00FE005E">
        <w:rPr>
          <w:rFonts w:ascii="Times New Roman" w:hAnsi="Times New Roman"/>
          <w:sz w:val="28"/>
          <w:szCs w:val="28"/>
        </w:rPr>
        <w:t>1</w:t>
      </w:r>
      <w:r w:rsidRPr="00FE005E">
        <w:rPr>
          <w:rFonts w:ascii="Times New Roman" w:hAnsi="Times New Roman"/>
          <w:sz w:val="28"/>
          <w:szCs w:val="28"/>
        </w:rPr>
        <w:t xml:space="preserve">968 through 1970.  </w:t>
      </w:r>
      <w:r w:rsidRPr="00FE005E">
        <w:rPr>
          <w:rFonts w:ascii="Times New Roman" w:hAnsi="Times New Roman"/>
          <w:i/>
          <w:sz w:val="28"/>
          <w:szCs w:val="28"/>
        </w:rPr>
        <w:t>Blonder-Toungue Lab. V. Univ. Illinois Found</w:t>
      </w:r>
      <w:r w:rsidRPr="00FE005E">
        <w:rPr>
          <w:rFonts w:ascii="Times New Roman" w:hAnsi="Times New Roman"/>
          <w:sz w:val="28"/>
          <w:szCs w:val="28"/>
        </w:rPr>
        <w:t xml:space="preserve">., 402 U.S. 313, 336 n.30 (1971).  </w:t>
      </w:r>
    </w:p>
    <w:p w:rsidR="00292388" w:rsidRDefault="00292388" w:rsidP="00C37A53">
      <w:pPr>
        <w:jc w:val="both"/>
        <w:rPr>
          <w:rFonts w:ascii="Times New Roman" w:hAnsi="Times New Roman"/>
          <w:sz w:val="28"/>
          <w:szCs w:val="28"/>
        </w:rPr>
      </w:pPr>
    </w:p>
    <w:p w:rsidR="00F2127D" w:rsidRPr="00FE005E" w:rsidRDefault="00F2127D" w:rsidP="00C37A53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>She contraste</w:t>
      </w:r>
      <w:r w:rsidR="005746D5" w:rsidRPr="00FE005E">
        <w:rPr>
          <w:rFonts w:ascii="Times New Roman" w:hAnsi="Times New Roman"/>
          <w:sz w:val="28"/>
          <w:szCs w:val="28"/>
        </w:rPr>
        <w:t>d that statistic with the three-</w:t>
      </w:r>
      <w:r w:rsidRPr="00FE005E">
        <w:rPr>
          <w:rFonts w:ascii="Times New Roman" w:hAnsi="Times New Roman"/>
          <w:sz w:val="28"/>
          <w:szCs w:val="28"/>
        </w:rPr>
        <w:t xml:space="preserve">year span of 1992 through 1994 where 163 of 274 patent trials went to a jury (60%), and over 70 percent of the patent trials went to jury in 1994. </w:t>
      </w:r>
      <w:r w:rsidR="00292388">
        <w:rPr>
          <w:rFonts w:ascii="Times New Roman" w:hAnsi="Times New Roman"/>
          <w:sz w:val="28"/>
          <w:szCs w:val="28"/>
        </w:rPr>
        <w:t xml:space="preserve"> </w:t>
      </w:r>
      <w:r w:rsidRPr="00FE005E">
        <w:rPr>
          <w:rFonts w:ascii="Times New Roman" w:hAnsi="Times New Roman"/>
          <w:i/>
          <w:sz w:val="28"/>
          <w:szCs w:val="28"/>
        </w:rPr>
        <w:t>See</w:t>
      </w:r>
      <w:r w:rsidRPr="00FE005E">
        <w:rPr>
          <w:rFonts w:ascii="Times New Roman" w:hAnsi="Times New Roman"/>
          <w:sz w:val="28"/>
          <w:szCs w:val="28"/>
        </w:rPr>
        <w:t xml:space="preserve"> </w:t>
      </w:r>
      <w:r w:rsidRPr="00FE005E">
        <w:rPr>
          <w:rFonts w:ascii="Times New Roman" w:hAnsi="Times New Roman"/>
          <w:i/>
          <w:sz w:val="28"/>
          <w:szCs w:val="28"/>
        </w:rPr>
        <w:t>In re Lockwood</w:t>
      </w:r>
      <w:r w:rsidRPr="00FE005E">
        <w:rPr>
          <w:rFonts w:ascii="Times New Roman" w:hAnsi="Times New Roman"/>
          <w:sz w:val="28"/>
          <w:szCs w:val="28"/>
        </w:rPr>
        <w:t>, 50 F.3d at 990 (Fed. Cir. 1995)</w:t>
      </w:r>
      <w:r w:rsidR="00C017B4" w:rsidRPr="00FE005E">
        <w:rPr>
          <w:rFonts w:ascii="Times New Roman" w:hAnsi="Times New Roman"/>
          <w:sz w:val="28"/>
          <w:szCs w:val="28"/>
        </w:rPr>
        <w:t xml:space="preserve"> </w:t>
      </w:r>
      <w:r w:rsidRPr="00FE005E">
        <w:rPr>
          <w:rFonts w:ascii="Times New Roman" w:hAnsi="Times New Roman"/>
          <w:sz w:val="28"/>
          <w:szCs w:val="28"/>
        </w:rPr>
        <w:t xml:space="preserve">(Nies, C.J., dissenting from denial of rehearing en banc).  </w:t>
      </w:r>
    </w:p>
    <w:p w:rsidR="00F2127D" w:rsidRDefault="00F2127D" w:rsidP="00C37A53">
      <w:pPr>
        <w:jc w:val="both"/>
        <w:rPr>
          <w:rFonts w:ascii="Times New Roman" w:hAnsi="Times New Roman"/>
          <w:sz w:val="28"/>
          <w:szCs w:val="28"/>
        </w:rPr>
      </w:pPr>
    </w:p>
    <w:p w:rsidR="00292388" w:rsidRPr="00FE005E" w:rsidRDefault="00292388" w:rsidP="00C37A53">
      <w:pPr>
        <w:jc w:val="both"/>
        <w:rPr>
          <w:rFonts w:ascii="Times New Roman" w:hAnsi="Times New Roman"/>
          <w:sz w:val="28"/>
          <w:szCs w:val="28"/>
        </w:rPr>
      </w:pPr>
    </w:p>
    <w:p w:rsidR="00A0776A" w:rsidRPr="00FE005E" w:rsidRDefault="001A434D" w:rsidP="00237DEE">
      <w:pPr>
        <w:pStyle w:val="ListParagraph"/>
        <w:numPr>
          <w:ilvl w:val="0"/>
          <w:numId w:val="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t xml:space="preserve">Patent Validity </w:t>
      </w:r>
      <w:r w:rsidR="00F506DD">
        <w:rPr>
          <w:rFonts w:ascii="Times New Roman" w:hAnsi="Times New Roman"/>
          <w:b/>
          <w:sz w:val="28"/>
          <w:szCs w:val="28"/>
        </w:rPr>
        <w:t>a</w:t>
      </w:r>
      <w:r w:rsidRPr="00FE005E">
        <w:rPr>
          <w:rFonts w:ascii="Times New Roman" w:hAnsi="Times New Roman"/>
          <w:b/>
          <w:sz w:val="28"/>
          <w:szCs w:val="28"/>
        </w:rPr>
        <w:t>s a Public Right</w:t>
      </w:r>
    </w:p>
    <w:p w:rsidR="003F7D13" w:rsidRPr="00FE005E" w:rsidRDefault="003F7D13" w:rsidP="00C37A53">
      <w:pPr>
        <w:jc w:val="both"/>
        <w:rPr>
          <w:rFonts w:ascii="Times New Roman" w:hAnsi="Times New Roman"/>
          <w:sz w:val="28"/>
          <w:szCs w:val="28"/>
        </w:rPr>
      </w:pPr>
    </w:p>
    <w:p w:rsidR="00292388" w:rsidRDefault="007D4B8A" w:rsidP="00292388">
      <w:pPr>
        <w:ind w:left="720"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E16F6C" w:rsidRPr="00FE005E">
        <w:rPr>
          <w:rFonts w:ascii="Times New Roman" w:hAnsi="Times New Roman"/>
          <w:sz w:val="28"/>
          <w:szCs w:val="28"/>
        </w:rPr>
        <w:t>The Seventh Amendment protects a litigant’s right to a jury trial only if a cause of action is legal in nature and it involv</w:t>
      </w:r>
      <w:r>
        <w:rPr>
          <w:rFonts w:ascii="Times New Roman" w:hAnsi="Times New Roman"/>
          <w:sz w:val="28"/>
          <w:szCs w:val="28"/>
        </w:rPr>
        <w:t>es a matter of “private right.”</w:t>
      </w:r>
    </w:p>
    <w:p w:rsidR="00292388" w:rsidRDefault="00292388" w:rsidP="00C37A5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A434D" w:rsidRPr="00FE005E" w:rsidRDefault="00E16F6C" w:rsidP="00292388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i/>
          <w:iCs/>
          <w:sz w:val="28"/>
          <w:szCs w:val="28"/>
        </w:rPr>
        <w:t>Granfinanciera, S.A. v. Nordberg</w:t>
      </w:r>
      <w:r w:rsidRPr="00FE005E">
        <w:rPr>
          <w:rFonts w:ascii="Times New Roman" w:hAnsi="Times New Roman"/>
          <w:sz w:val="28"/>
          <w:szCs w:val="28"/>
        </w:rPr>
        <w:t>, 492 U.S. 33 (1989).</w:t>
      </w:r>
    </w:p>
    <w:p w:rsidR="00012143" w:rsidRPr="00FE005E" w:rsidRDefault="00E16F6C" w:rsidP="00C37A5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 xml:space="preserve">  </w:t>
      </w:r>
    </w:p>
    <w:p w:rsidR="00292388" w:rsidRDefault="007D4B8A" w:rsidP="00C37A5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E16F6C" w:rsidRPr="00FE005E">
        <w:rPr>
          <w:rFonts w:ascii="Times New Roman" w:hAnsi="Times New Roman"/>
          <w:sz w:val="28"/>
          <w:szCs w:val="28"/>
        </w:rPr>
        <w:t>Validity of a paten</w:t>
      </w:r>
      <w:r>
        <w:rPr>
          <w:rFonts w:ascii="Times New Roman" w:hAnsi="Times New Roman"/>
          <w:sz w:val="28"/>
          <w:szCs w:val="28"/>
        </w:rPr>
        <w:t>t is a matter of public right.”</w:t>
      </w:r>
    </w:p>
    <w:p w:rsidR="00292388" w:rsidRDefault="00292388" w:rsidP="00292388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F7D13" w:rsidRPr="00FE005E" w:rsidRDefault="00E16F6C" w:rsidP="00292388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i/>
          <w:iCs/>
          <w:sz w:val="28"/>
          <w:szCs w:val="28"/>
        </w:rPr>
        <w:t>Oil States Energy Servs., LLC v. Greene’s Energy Grp., LLC</w:t>
      </w:r>
      <w:r w:rsidRPr="00FE005E">
        <w:rPr>
          <w:rFonts w:ascii="Times New Roman" w:hAnsi="Times New Roman"/>
          <w:sz w:val="28"/>
          <w:szCs w:val="28"/>
        </w:rPr>
        <w:t>, 138 S. Ct. 1365 (2018).</w:t>
      </w:r>
    </w:p>
    <w:p w:rsidR="001A434D" w:rsidRDefault="001A434D" w:rsidP="00C37A5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F57916" w:rsidRDefault="00F57916" w:rsidP="00C37A5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A434D" w:rsidRPr="00FE005E" w:rsidRDefault="001A434D" w:rsidP="00237DEE">
      <w:pPr>
        <w:pStyle w:val="ListParagraph"/>
        <w:numPr>
          <w:ilvl w:val="0"/>
          <w:numId w:val="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t>Dismissed Claims</w:t>
      </w:r>
    </w:p>
    <w:p w:rsidR="001A434D" w:rsidRPr="00FE005E" w:rsidRDefault="001A434D" w:rsidP="00C37A53">
      <w:pPr>
        <w:jc w:val="both"/>
        <w:rPr>
          <w:rFonts w:ascii="Times New Roman" w:hAnsi="Times New Roman"/>
          <w:sz w:val="28"/>
          <w:szCs w:val="28"/>
        </w:rPr>
      </w:pPr>
    </w:p>
    <w:p w:rsidR="00012143" w:rsidRPr="00FE005E" w:rsidRDefault="00E16F6C" w:rsidP="00292388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 xml:space="preserve">Dismissed claims are not considered when determining right to trial by jury.  </w:t>
      </w:r>
      <w:r w:rsidRPr="00FE005E">
        <w:rPr>
          <w:rFonts w:ascii="Times New Roman" w:hAnsi="Times New Roman"/>
          <w:i/>
          <w:iCs/>
          <w:sz w:val="28"/>
          <w:szCs w:val="28"/>
        </w:rPr>
        <w:t>See Wall v. Trust Co. of Ga.</w:t>
      </w:r>
      <w:r w:rsidRPr="00FE005E">
        <w:rPr>
          <w:rFonts w:ascii="Times New Roman" w:hAnsi="Times New Roman"/>
          <w:sz w:val="28"/>
          <w:szCs w:val="28"/>
        </w:rPr>
        <w:t xml:space="preserve">, 946 F.2d 805, 808 (11th Cir. 1991); </w:t>
      </w:r>
      <w:r w:rsidRPr="00FE005E">
        <w:rPr>
          <w:rFonts w:ascii="Times New Roman" w:hAnsi="Times New Roman"/>
          <w:i/>
          <w:iCs/>
          <w:sz w:val="28"/>
          <w:szCs w:val="28"/>
        </w:rPr>
        <w:t>In re Evangelist</w:t>
      </w:r>
      <w:r w:rsidRPr="00FE005E">
        <w:rPr>
          <w:rFonts w:ascii="Times New Roman" w:hAnsi="Times New Roman"/>
          <w:sz w:val="28"/>
          <w:szCs w:val="28"/>
        </w:rPr>
        <w:t xml:space="preserve">, 760 F.2d 27, 32 (1st Cir. 1985); </w:t>
      </w:r>
      <w:r w:rsidRPr="00FE005E">
        <w:rPr>
          <w:rFonts w:ascii="Times New Roman" w:hAnsi="Times New Roman"/>
          <w:i/>
          <w:iCs/>
          <w:sz w:val="28"/>
          <w:szCs w:val="28"/>
        </w:rPr>
        <w:t>Armco, Inc. v. Armco Burglar Alarm Co.</w:t>
      </w:r>
      <w:r w:rsidRPr="00FE005E">
        <w:rPr>
          <w:rFonts w:ascii="Times New Roman" w:hAnsi="Times New Roman"/>
          <w:sz w:val="28"/>
          <w:szCs w:val="28"/>
        </w:rPr>
        <w:t xml:space="preserve">, 693 F.2d 1155, 1158 (5th Cir. 1982); </w:t>
      </w:r>
      <w:r w:rsidRPr="00FE005E">
        <w:rPr>
          <w:rFonts w:ascii="Times New Roman" w:hAnsi="Times New Roman"/>
          <w:i/>
          <w:iCs/>
          <w:sz w:val="28"/>
          <w:szCs w:val="28"/>
        </w:rPr>
        <w:t>Skippy, Inc. v. CPC Int’l, Inc.</w:t>
      </w:r>
      <w:r w:rsidRPr="00FE005E">
        <w:rPr>
          <w:rFonts w:ascii="Times New Roman" w:hAnsi="Times New Roman"/>
          <w:sz w:val="28"/>
          <w:szCs w:val="28"/>
        </w:rPr>
        <w:t xml:space="preserve">, 674 F.2d 209, 215 (4th Cir. 1982); </w:t>
      </w:r>
      <w:r w:rsidRPr="00FE005E">
        <w:rPr>
          <w:rFonts w:ascii="Times New Roman" w:hAnsi="Times New Roman"/>
          <w:i/>
          <w:iCs/>
          <w:sz w:val="28"/>
          <w:szCs w:val="28"/>
        </w:rPr>
        <w:t>Anti-Monopoly, Inc. v. General Mills Fun Group</w:t>
      </w:r>
      <w:r w:rsidRPr="00FE005E">
        <w:rPr>
          <w:rFonts w:ascii="Times New Roman" w:hAnsi="Times New Roman"/>
          <w:sz w:val="28"/>
          <w:szCs w:val="28"/>
        </w:rPr>
        <w:t>, 611 F.2d 296, 307 (9th Cir. 1979).</w:t>
      </w:r>
    </w:p>
    <w:p w:rsidR="00C82FED" w:rsidRDefault="00C82FED" w:rsidP="00C37A53">
      <w:pPr>
        <w:ind w:left="1440"/>
        <w:jc w:val="both"/>
        <w:rPr>
          <w:rFonts w:ascii="Times New Roman" w:hAnsi="Times New Roman"/>
          <w:sz w:val="28"/>
          <w:szCs w:val="28"/>
        </w:rPr>
      </w:pPr>
    </w:p>
    <w:p w:rsidR="00F160DB" w:rsidRPr="00FE005E" w:rsidRDefault="00F160DB" w:rsidP="00C37A53">
      <w:pPr>
        <w:ind w:left="1440"/>
        <w:jc w:val="both"/>
        <w:rPr>
          <w:rFonts w:ascii="Times New Roman" w:hAnsi="Times New Roman"/>
          <w:sz w:val="28"/>
          <w:szCs w:val="28"/>
        </w:rPr>
      </w:pPr>
    </w:p>
    <w:p w:rsidR="000315B3" w:rsidRPr="00FE005E" w:rsidRDefault="00186D2F" w:rsidP="00237DEE">
      <w:pPr>
        <w:pStyle w:val="ListParagraph"/>
        <w:numPr>
          <w:ilvl w:val="0"/>
          <w:numId w:val="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t xml:space="preserve">Willful Patent Infringement </w:t>
      </w:r>
    </w:p>
    <w:p w:rsidR="00186D2F" w:rsidRPr="00FE005E" w:rsidRDefault="00186D2F" w:rsidP="00C37A53">
      <w:pPr>
        <w:jc w:val="both"/>
        <w:rPr>
          <w:rFonts w:ascii="Times New Roman" w:hAnsi="Times New Roman"/>
          <w:b/>
          <w:sz w:val="28"/>
          <w:szCs w:val="28"/>
        </w:rPr>
      </w:pPr>
    </w:p>
    <w:p w:rsidR="00012143" w:rsidRDefault="007D4B8A" w:rsidP="00292388">
      <w:pPr>
        <w:ind w:left="720"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E16F6C" w:rsidRPr="00FE005E">
        <w:rPr>
          <w:rFonts w:ascii="Times New Roman" w:hAnsi="Times New Roman"/>
          <w:sz w:val="28"/>
          <w:szCs w:val="28"/>
        </w:rPr>
        <w:t>Knowledge of the patent alleged to be willfully infringed continues to be a prerequisite to enhanced damages.</w:t>
      </w:r>
      <w:r>
        <w:rPr>
          <w:rFonts w:ascii="Times New Roman" w:hAnsi="Times New Roman"/>
          <w:sz w:val="28"/>
          <w:szCs w:val="28"/>
        </w:rPr>
        <w:t xml:space="preserve"> “</w:t>
      </w:r>
    </w:p>
    <w:p w:rsidR="00292388" w:rsidRDefault="00292388" w:rsidP="00292388">
      <w:pPr>
        <w:ind w:left="1440"/>
        <w:jc w:val="both"/>
        <w:rPr>
          <w:rFonts w:ascii="Times New Roman" w:hAnsi="Times New Roman"/>
          <w:sz w:val="28"/>
          <w:szCs w:val="28"/>
        </w:rPr>
      </w:pPr>
    </w:p>
    <w:p w:rsidR="00012143" w:rsidRPr="00FE005E" w:rsidRDefault="00E16F6C" w:rsidP="00292388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i/>
          <w:iCs/>
          <w:sz w:val="28"/>
          <w:szCs w:val="28"/>
        </w:rPr>
        <w:lastRenderedPageBreak/>
        <w:t>WBIP, LLC. v. Kohler Co.</w:t>
      </w:r>
      <w:r w:rsidRPr="00FE005E">
        <w:rPr>
          <w:rFonts w:ascii="Times New Roman" w:hAnsi="Times New Roman"/>
          <w:sz w:val="28"/>
          <w:szCs w:val="28"/>
        </w:rPr>
        <w:t xml:space="preserve">, 829 F.3d 1317, 1341 (Fed. Cir. 2016) (holding that there is a right to a jury trial on the </w:t>
      </w:r>
      <w:r w:rsidR="00E043EA" w:rsidRPr="00FE005E">
        <w:rPr>
          <w:rFonts w:ascii="Times New Roman" w:hAnsi="Times New Roman"/>
          <w:sz w:val="28"/>
          <w:szCs w:val="28"/>
        </w:rPr>
        <w:t>issue</w:t>
      </w:r>
      <w:r w:rsidRPr="00FE005E">
        <w:rPr>
          <w:rFonts w:ascii="Times New Roman" w:hAnsi="Times New Roman"/>
          <w:sz w:val="28"/>
          <w:szCs w:val="28"/>
        </w:rPr>
        <w:t xml:space="preserve"> of willfulness of patent infringement). </w:t>
      </w:r>
    </w:p>
    <w:p w:rsidR="00186D2F" w:rsidRDefault="00186D2F" w:rsidP="00C37A53">
      <w:pPr>
        <w:jc w:val="both"/>
        <w:rPr>
          <w:rFonts w:ascii="Times New Roman" w:hAnsi="Times New Roman"/>
          <w:b/>
          <w:sz w:val="28"/>
          <w:szCs w:val="28"/>
        </w:rPr>
      </w:pPr>
    </w:p>
    <w:p w:rsidR="00292388" w:rsidRDefault="007D4B8A" w:rsidP="00743FFE">
      <w:pPr>
        <w:ind w:left="720"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743FFE">
        <w:rPr>
          <w:rFonts w:ascii="Times New Roman" w:hAnsi="Times New Roman"/>
          <w:sz w:val="28"/>
          <w:szCs w:val="28"/>
        </w:rPr>
        <w:t>[</w:t>
      </w:r>
      <w:r w:rsidR="00292388" w:rsidRPr="00FE005E">
        <w:rPr>
          <w:rFonts w:ascii="Times New Roman" w:hAnsi="Times New Roman"/>
          <w:sz w:val="28"/>
          <w:szCs w:val="28"/>
        </w:rPr>
        <w:t>Nothing changes</w:t>
      </w:r>
      <w:r w:rsidR="00743FFE">
        <w:rPr>
          <w:rFonts w:ascii="Times New Roman" w:hAnsi="Times New Roman"/>
          <w:sz w:val="28"/>
          <w:szCs w:val="28"/>
        </w:rPr>
        <w:t>]</w:t>
      </w:r>
      <w:r w:rsidR="00292388" w:rsidRPr="00FE005E">
        <w:rPr>
          <w:rFonts w:ascii="Times New Roman" w:hAnsi="Times New Roman"/>
          <w:sz w:val="28"/>
          <w:szCs w:val="28"/>
        </w:rPr>
        <w:t xml:space="preserve"> the established law that the factual components of the willfulness question should be resolved by the jury.</w:t>
      </w:r>
      <w:r>
        <w:rPr>
          <w:rFonts w:ascii="Times New Roman" w:hAnsi="Times New Roman"/>
          <w:sz w:val="28"/>
          <w:szCs w:val="28"/>
        </w:rPr>
        <w:t>”</w:t>
      </w:r>
    </w:p>
    <w:p w:rsidR="00743FFE" w:rsidRDefault="00743FFE" w:rsidP="00C37A53">
      <w:pPr>
        <w:jc w:val="both"/>
        <w:rPr>
          <w:rFonts w:ascii="Times New Roman" w:hAnsi="Times New Roman"/>
          <w:sz w:val="28"/>
          <w:szCs w:val="28"/>
        </w:rPr>
      </w:pPr>
    </w:p>
    <w:p w:rsidR="00743FFE" w:rsidRPr="00743FFE" w:rsidRDefault="00743FFE" w:rsidP="00C37A5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Id. </w:t>
      </w:r>
    </w:p>
    <w:p w:rsidR="000315B3" w:rsidRDefault="000315B3" w:rsidP="00C37A53">
      <w:pPr>
        <w:jc w:val="both"/>
        <w:rPr>
          <w:rFonts w:ascii="Times New Roman" w:hAnsi="Times New Roman"/>
          <w:b/>
          <w:sz w:val="28"/>
          <w:szCs w:val="28"/>
        </w:rPr>
      </w:pPr>
    </w:p>
    <w:p w:rsidR="00743FFE" w:rsidRDefault="00743FFE" w:rsidP="00C37A53">
      <w:pPr>
        <w:jc w:val="both"/>
        <w:rPr>
          <w:rFonts w:ascii="Times New Roman" w:hAnsi="Times New Roman"/>
          <w:b/>
          <w:sz w:val="28"/>
          <w:szCs w:val="28"/>
        </w:rPr>
      </w:pPr>
    </w:p>
    <w:p w:rsidR="00E300B7" w:rsidRPr="00FE005E" w:rsidRDefault="007228CF" w:rsidP="00237DEE">
      <w:pPr>
        <w:pStyle w:val="ListParagraph"/>
        <w:numPr>
          <w:ilvl w:val="0"/>
          <w:numId w:val="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t>When Issues Are Both At Law and In Equity</w:t>
      </w:r>
    </w:p>
    <w:p w:rsidR="00E300B7" w:rsidRPr="00FE005E" w:rsidRDefault="00E300B7" w:rsidP="00C37A53">
      <w:pPr>
        <w:jc w:val="both"/>
        <w:rPr>
          <w:rFonts w:ascii="Times New Roman" w:hAnsi="Times New Roman"/>
          <w:b/>
          <w:sz w:val="28"/>
          <w:szCs w:val="28"/>
        </w:rPr>
      </w:pPr>
    </w:p>
    <w:p w:rsidR="00E300B7" w:rsidRPr="00FE005E" w:rsidRDefault="00E300B7" w:rsidP="00C37A53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>“A jury will decide the legal claims while the judge will decide the equitable issues. In such cases, the jury must first de</w:t>
      </w:r>
      <w:r w:rsidR="00743FFE">
        <w:rPr>
          <w:rFonts w:ascii="Times New Roman" w:hAnsi="Times New Roman"/>
          <w:sz w:val="28"/>
          <w:szCs w:val="28"/>
        </w:rPr>
        <w:t>cide any common issues of fact.</w:t>
      </w:r>
      <w:r w:rsidR="007D4B8A">
        <w:rPr>
          <w:rFonts w:ascii="Times New Roman" w:hAnsi="Times New Roman"/>
          <w:sz w:val="28"/>
          <w:szCs w:val="28"/>
        </w:rPr>
        <w:t>”</w:t>
      </w:r>
    </w:p>
    <w:p w:rsidR="00743FFE" w:rsidRDefault="00743FFE" w:rsidP="00743FFE">
      <w:pPr>
        <w:pStyle w:val="ListParagraph"/>
        <w:ind w:left="1080"/>
        <w:jc w:val="both"/>
        <w:rPr>
          <w:rFonts w:ascii="Times New Roman" w:hAnsi="Times New Roman"/>
          <w:i/>
          <w:sz w:val="28"/>
          <w:szCs w:val="28"/>
        </w:rPr>
      </w:pPr>
    </w:p>
    <w:p w:rsidR="00743FFE" w:rsidRPr="00FE005E" w:rsidRDefault="00743FFE" w:rsidP="00743FFE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i/>
          <w:sz w:val="28"/>
          <w:szCs w:val="28"/>
        </w:rPr>
        <w:t>Beacon Theatres, Inc. v. Westover</w:t>
      </w:r>
      <w:r w:rsidRPr="00FE005E">
        <w:rPr>
          <w:rFonts w:ascii="Times New Roman" w:hAnsi="Times New Roman"/>
          <w:sz w:val="28"/>
          <w:szCs w:val="28"/>
        </w:rPr>
        <w:t>, 359 U.S. 500 (1959)</w:t>
      </w:r>
      <w:r w:rsidR="00C238B7">
        <w:rPr>
          <w:rFonts w:ascii="Times New Roman" w:hAnsi="Times New Roman"/>
          <w:sz w:val="28"/>
          <w:szCs w:val="28"/>
        </w:rPr>
        <w:t>.</w:t>
      </w:r>
    </w:p>
    <w:p w:rsidR="00F160DB" w:rsidRDefault="00F160DB" w:rsidP="00C37A53">
      <w:pPr>
        <w:jc w:val="both"/>
        <w:rPr>
          <w:rFonts w:ascii="Times New Roman" w:hAnsi="Times New Roman"/>
          <w:b/>
          <w:sz w:val="28"/>
          <w:szCs w:val="28"/>
        </w:rPr>
      </w:pPr>
    </w:p>
    <w:p w:rsidR="001B1C21" w:rsidRDefault="001B1C21" w:rsidP="00C37A53">
      <w:pPr>
        <w:jc w:val="both"/>
        <w:rPr>
          <w:rFonts w:ascii="Times New Roman" w:hAnsi="Times New Roman"/>
          <w:b/>
          <w:sz w:val="28"/>
          <w:szCs w:val="28"/>
        </w:rPr>
      </w:pPr>
    </w:p>
    <w:p w:rsidR="001A434D" w:rsidRPr="00FE005E" w:rsidRDefault="00C82FED" w:rsidP="00237DEE">
      <w:pPr>
        <w:pStyle w:val="ListParagraph"/>
        <w:numPr>
          <w:ilvl w:val="0"/>
          <w:numId w:val="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t xml:space="preserve"> Inequitable Conduct</w:t>
      </w:r>
    </w:p>
    <w:p w:rsidR="007228CF" w:rsidRDefault="007228CF" w:rsidP="00C37A53">
      <w:pPr>
        <w:jc w:val="both"/>
        <w:rPr>
          <w:rFonts w:ascii="Times New Roman" w:hAnsi="Times New Roman"/>
          <w:b/>
          <w:sz w:val="28"/>
          <w:szCs w:val="28"/>
        </w:rPr>
      </w:pPr>
    </w:p>
    <w:p w:rsidR="00012143" w:rsidRPr="00FE005E" w:rsidRDefault="00E16F6C" w:rsidP="007D4B8A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>Inequitable conduct is an issue that is “entirely equitable in nature” and thus not r</w:t>
      </w:r>
      <w:r w:rsidR="007D4B8A">
        <w:rPr>
          <w:rFonts w:ascii="Times New Roman" w:hAnsi="Times New Roman"/>
          <w:sz w:val="28"/>
          <w:szCs w:val="28"/>
        </w:rPr>
        <w:t xml:space="preserve">equired to be decided by a jury. </w:t>
      </w:r>
      <w:r w:rsidR="007D4B8A">
        <w:rPr>
          <w:rFonts w:ascii="Times New Roman" w:hAnsi="Times New Roman"/>
          <w:i/>
          <w:sz w:val="28"/>
          <w:szCs w:val="28"/>
        </w:rPr>
        <w:t xml:space="preserve">See </w:t>
      </w:r>
      <w:r w:rsidR="007228CF" w:rsidRPr="00FE005E">
        <w:rPr>
          <w:rFonts w:ascii="Times New Roman" w:hAnsi="Times New Roman"/>
          <w:i/>
          <w:iCs/>
          <w:sz w:val="28"/>
          <w:szCs w:val="28"/>
          <w:lang w:val="es-ES"/>
        </w:rPr>
        <w:t>Agfa Corp. v. Creo Prods.</w:t>
      </w:r>
      <w:r w:rsidR="007228CF" w:rsidRPr="00FE005E">
        <w:rPr>
          <w:rFonts w:ascii="Times New Roman" w:hAnsi="Times New Roman"/>
          <w:sz w:val="28"/>
          <w:szCs w:val="28"/>
          <w:lang w:val="es-ES"/>
        </w:rPr>
        <w:t>, 451 F.3d 1366</w:t>
      </w:r>
      <w:r w:rsidR="007228CF" w:rsidRPr="00FE005E">
        <w:rPr>
          <w:rFonts w:ascii="Times New Roman" w:hAnsi="Times New Roman"/>
          <w:sz w:val="28"/>
          <w:szCs w:val="28"/>
        </w:rPr>
        <w:t xml:space="preserve"> (Fed. Cir. 2006); </w:t>
      </w:r>
      <w:r w:rsidRPr="00FE005E">
        <w:rPr>
          <w:rFonts w:ascii="Times New Roman" w:hAnsi="Times New Roman"/>
          <w:i/>
          <w:iCs/>
          <w:sz w:val="28"/>
          <w:szCs w:val="28"/>
        </w:rPr>
        <w:t>Gardco Mfg., Inc. v. Herst Lighting Co.</w:t>
      </w:r>
      <w:r w:rsidRPr="00FE005E">
        <w:rPr>
          <w:rFonts w:ascii="Times New Roman" w:hAnsi="Times New Roman"/>
          <w:sz w:val="28"/>
          <w:szCs w:val="28"/>
        </w:rPr>
        <w:t>, 820 F.2d 1209 (Fed. Cir. 1987).</w:t>
      </w:r>
    </w:p>
    <w:p w:rsidR="007228CF" w:rsidRPr="00FE005E" w:rsidRDefault="007228CF" w:rsidP="00C37A53">
      <w:pPr>
        <w:ind w:left="1440"/>
        <w:jc w:val="both"/>
        <w:rPr>
          <w:rFonts w:ascii="Times New Roman" w:hAnsi="Times New Roman"/>
          <w:sz w:val="28"/>
          <w:szCs w:val="28"/>
        </w:rPr>
      </w:pPr>
    </w:p>
    <w:p w:rsidR="007228CF" w:rsidRPr="00FE005E" w:rsidRDefault="007228CF" w:rsidP="00C37A53">
      <w:pPr>
        <w:ind w:left="1440"/>
        <w:jc w:val="both"/>
        <w:rPr>
          <w:rFonts w:ascii="Times New Roman" w:hAnsi="Times New Roman"/>
          <w:sz w:val="28"/>
          <w:szCs w:val="28"/>
        </w:rPr>
      </w:pPr>
    </w:p>
    <w:p w:rsidR="00012143" w:rsidRPr="00FE005E" w:rsidRDefault="00E16F6C" w:rsidP="007D4B8A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 xml:space="preserve">Whether the undisclosed </w:t>
      </w:r>
      <w:r w:rsidR="00BD33E3" w:rsidRPr="00FE005E">
        <w:rPr>
          <w:rFonts w:ascii="Times New Roman" w:hAnsi="Times New Roman"/>
          <w:sz w:val="28"/>
          <w:szCs w:val="28"/>
        </w:rPr>
        <w:t>prior art</w:t>
      </w:r>
      <w:r w:rsidRPr="00FE005E">
        <w:rPr>
          <w:rFonts w:ascii="Times New Roman" w:hAnsi="Times New Roman"/>
          <w:sz w:val="28"/>
          <w:szCs w:val="28"/>
        </w:rPr>
        <w:t xml:space="preserve"> was material to the patentability of the invention is now determined under “but for” test.</w:t>
      </w:r>
      <w:r w:rsidR="007D4B8A">
        <w:rPr>
          <w:rFonts w:ascii="Times New Roman" w:hAnsi="Times New Roman"/>
          <w:sz w:val="28"/>
          <w:szCs w:val="28"/>
        </w:rPr>
        <w:t xml:space="preserve">  </w:t>
      </w:r>
      <w:r w:rsidRPr="00FE005E">
        <w:rPr>
          <w:rFonts w:ascii="Times New Roman" w:hAnsi="Times New Roman"/>
          <w:i/>
          <w:iCs/>
          <w:sz w:val="28"/>
          <w:szCs w:val="28"/>
        </w:rPr>
        <w:t>Therasense, Inc. v. Becton, Dickinson &amp; Co</w:t>
      </w:r>
      <w:r w:rsidRPr="00FE005E">
        <w:rPr>
          <w:rFonts w:ascii="Times New Roman" w:hAnsi="Times New Roman"/>
          <w:sz w:val="28"/>
          <w:szCs w:val="28"/>
        </w:rPr>
        <w:t>., 649 F.3d 1276 (Fed. Cir. 2011).</w:t>
      </w:r>
    </w:p>
    <w:p w:rsidR="00E300B7" w:rsidRPr="00FE005E" w:rsidRDefault="00E300B7" w:rsidP="00C37A53">
      <w:pPr>
        <w:jc w:val="both"/>
        <w:rPr>
          <w:rFonts w:ascii="Times New Roman" w:hAnsi="Times New Roman"/>
          <w:sz w:val="28"/>
          <w:szCs w:val="28"/>
        </w:rPr>
      </w:pPr>
    </w:p>
    <w:p w:rsidR="007228CF" w:rsidRPr="00FE005E" w:rsidRDefault="00BD33E3" w:rsidP="007D4B8A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 xml:space="preserve">Courts have not resolved whether the </w:t>
      </w:r>
      <w:r w:rsidR="00425E5C" w:rsidRPr="00425E5C">
        <w:rPr>
          <w:rFonts w:ascii="Times New Roman" w:hAnsi="Times New Roman"/>
          <w:i/>
          <w:iCs/>
          <w:sz w:val="28"/>
          <w:szCs w:val="28"/>
        </w:rPr>
        <w:t>Therasense</w:t>
      </w:r>
      <w:r w:rsidR="00425E5C" w:rsidRPr="00425E5C">
        <w:rPr>
          <w:rFonts w:ascii="Times New Roman" w:hAnsi="Times New Roman"/>
          <w:sz w:val="28"/>
          <w:szCs w:val="28"/>
        </w:rPr>
        <w:t xml:space="preserve"> </w:t>
      </w:r>
      <w:r w:rsidRPr="00FE005E">
        <w:rPr>
          <w:rFonts w:ascii="Times New Roman" w:hAnsi="Times New Roman"/>
          <w:sz w:val="28"/>
          <w:szCs w:val="28"/>
        </w:rPr>
        <w:t xml:space="preserve">materiality test causes a </w:t>
      </w:r>
      <w:r w:rsidRPr="00FE005E">
        <w:rPr>
          <w:rFonts w:ascii="Times New Roman" w:hAnsi="Times New Roman"/>
          <w:i/>
          <w:sz w:val="28"/>
          <w:szCs w:val="28"/>
        </w:rPr>
        <w:t>Beacon Theaters</w:t>
      </w:r>
      <w:r w:rsidRPr="00FE005E">
        <w:rPr>
          <w:rFonts w:ascii="Times New Roman" w:hAnsi="Times New Roman"/>
          <w:sz w:val="28"/>
          <w:szCs w:val="28"/>
        </w:rPr>
        <w:t xml:space="preserve"> overlap w</w:t>
      </w:r>
      <w:r w:rsidR="00425E5C">
        <w:rPr>
          <w:rFonts w:ascii="Times New Roman" w:hAnsi="Times New Roman"/>
          <w:sz w:val="28"/>
          <w:szCs w:val="28"/>
        </w:rPr>
        <w:t xml:space="preserve">hen </w:t>
      </w:r>
      <w:r w:rsidRPr="00FE005E">
        <w:rPr>
          <w:rFonts w:ascii="Times New Roman" w:hAnsi="Times New Roman"/>
          <w:sz w:val="28"/>
          <w:szCs w:val="28"/>
        </w:rPr>
        <w:t xml:space="preserve">an invalidity defense rests on the same undisclosed reference.   </w:t>
      </w:r>
    </w:p>
    <w:p w:rsidR="00012143" w:rsidRDefault="00012143" w:rsidP="00C37A53">
      <w:pPr>
        <w:ind w:left="1440"/>
        <w:jc w:val="both"/>
        <w:rPr>
          <w:rFonts w:ascii="Times New Roman" w:hAnsi="Times New Roman"/>
          <w:sz w:val="28"/>
          <w:szCs w:val="28"/>
        </w:rPr>
      </w:pPr>
    </w:p>
    <w:p w:rsidR="007D4B8A" w:rsidRPr="00FE005E" w:rsidRDefault="007D4B8A" w:rsidP="00C37A53">
      <w:pPr>
        <w:ind w:left="1440"/>
        <w:jc w:val="both"/>
        <w:rPr>
          <w:rFonts w:ascii="Times New Roman" w:hAnsi="Times New Roman"/>
          <w:sz w:val="28"/>
          <w:szCs w:val="28"/>
        </w:rPr>
      </w:pPr>
    </w:p>
    <w:p w:rsidR="007228CF" w:rsidRPr="00FE005E" w:rsidRDefault="000315B3" w:rsidP="00237DEE">
      <w:pPr>
        <w:pStyle w:val="ListParagraph"/>
        <w:numPr>
          <w:ilvl w:val="0"/>
          <w:numId w:val="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i/>
          <w:sz w:val="28"/>
          <w:szCs w:val="28"/>
        </w:rPr>
        <w:t>Walker Process</w:t>
      </w:r>
      <w:r w:rsidRPr="00FE005E">
        <w:rPr>
          <w:rFonts w:ascii="Times New Roman" w:hAnsi="Times New Roman"/>
          <w:b/>
          <w:sz w:val="28"/>
          <w:szCs w:val="28"/>
        </w:rPr>
        <w:t xml:space="preserve"> Antitrust Claims</w:t>
      </w:r>
    </w:p>
    <w:p w:rsidR="000315B3" w:rsidRPr="00FE005E" w:rsidRDefault="000315B3" w:rsidP="00C37A53">
      <w:pPr>
        <w:jc w:val="both"/>
        <w:rPr>
          <w:rFonts w:ascii="Times New Roman" w:hAnsi="Times New Roman"/>
          <w:sz w:val="28"/>
          <w:szCs w:val="28"/>
        </w:rPr>
      </w:pPr>
    </w:p>
    <w:p w:rsidR="00012143" w:rsidRDefault="00E16F6C" w:rsidP="00743FFE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i/>
          <w:iCs/>
          <w:sz w:val="28"/>
          <w:szCs w:val="28"/>
        </w:rPr>
        <w:t xml:space="preserve">Walker Process </w:t>
      </w:r>
      <w:r w:rsidRPr="00FE005E">
        <w:rPr>
          <w:rFonts w:ascii="Times New Roman" w:hAnsi="Times New Roman"/>
          <w:sz w:val="28"/>
          <w:szCs w:val="28"/>
        </w:rPr>
        <w:t xml:space="preserve">claims rest on the patentee’s inequitable conduct </w:t>
      </w:r>
      <w:r w:rsidR="00425E5C">
        <w:rPr>
          <w:rFonts w:ascii="Times New Roman" w:hAnsi="Times New Roman"/>
          <w:sz w:val="28"/>
          <w:szCs w:val="28"/>
        </w:rPr>
        <w:t xml:space="preserve">when </w:t>
      </w:r>
      <w:r w:rsidRPr="00FE005E">
        <w:rPr>
          <w:rFonts w:ascii="Times New Roman" w:hAnsi="Times New Roman"/>
          <w:sz w:val="28"/>
          <w:szCs w:val="28"/>
        </w:rPr>
        <w:t>obtain</w:t>
      </w:r>
      <w:r w:rsidR="00425E5C">
        <w:rPr>
          <w:rFonts w:ascii="Times New Roman" w:hAnsi="Times New Roman"/>
          <w:sz w:val="28"/>
          <w:szCs w:val="28"/>
        </w:rPr>
        <w:t>ing</w:t>
      </w:r>
      <w:r w:rsidRPr="00FE005E">
        <w:rPr>
          <w:rFonts w:ascii="Times New Roman" w:hAnsi="Times New Roman"/>
          <w:sz w:val="28"/>
          <w:szCs w:val="28"/>
        </w:rPr>
        <w:t xml:space="preserve"> the patent with the intent to monopolize the relevant market.  Thus, the inequitable conduct issue overlaps with the </w:t>
      </w:r>
      <w:r w:rsidRPr="00FE005E">
        <w:rPr>
          <w:rFonts w:ascii="Times New Roman" w:hAnsi="Times New Roman"/>
          <w:i/>
          <w:iCs/>
          <w:sz w:val="28"/>
          <w:szCs w:val="28"/>
        </w:rPr>
        <w:t xml:space="preserve">Walker Process </w:t>
      </w:r>
      <w:r w:rsidRPr="00FE005E">
        <w:rPr>
          <w:rFonts w:ascii="Times New Roman" w:hAnsi="Times New Roman"/>
          <w:sz w:val="28"/>
          <w:szCs w:val="28"/>
        </w:rPr>
        <w:t xml:space="preserve">claim.  </w:t>
      </w:r>
      <w:r w:rsidR="00425E5C" w:rsidRPr="00425E5C">
        <w:rPr>
          <w:rFonts w:ascii="Times New Roman" w:hAnsi="Times New Roman"/>
          <w:i/>
          <w:iCs/>
          <w:sz w:val="28"/>
          <w:szCs w:val="28"/>
        </w:rPr>
        <w:t>See, e.g.</w:t>
      </w:r>
      <w:r w:rsidR="00425E5C" w:rsidRPr="00425E5C">
        <w:rPr>
          <w:rFonts w:ascii="Times New Roman" w:hAnsi="Times New Roman"/>
          <w:sz w:val="28"/>
          <w:szCs w:val="28"/>
        </w:rPr>
        <w:t xml:space="preserve">, </w:t>
      </w:r>
      <w:r w:rsidR="00425E5C" w:rsidRPr="00425E5C">
        <w:rPr>
          <w:rFonts w:ascii="Times New Roman" w:hAnsi="Times New Roman"/>
          <w:i/>
          <w:iCs/>
          <w:sz w:val="28"/>
          <w:szCs w:val="28"/>
        </w:rPr>
        <w:t>Schering Corp. v. Mylan Pharms. Inc.</w:t>
      </w:r>
      <w:r w:rsidR="00425E5C" w:rsidRPr="00425E5C">
        <w:rPr>
          <w:rFonts w:ascii="Times New Roman" w:hAnsi="Times New Roman"/>
          <w:sz w:val="28"/>
          <w:szCs w:val="28"/>
        </w:rPr>
        <w:t xml:space="preserve">, Civil Action No. 09-6383 (JLL), 2010 WL 11474547, at *1 </w:t>
      </w:r>
      <w:r w:rsidR="00425E5C" w:rsidRPr="00425E5C">
        <w:rPr>
          <w:rFonts w:ascii="Times New Roman" w:hAnsi="Times New Roman"/>
          <w:sz w:val="28"/>
          <w:szCs w:val="28"/>
        </w:rPr>
        <w:lastRenderedPageBreak/>
        <w:t xml:space="preserve">(D.N.J. June 10, 2010); </w:t>
      </w:r>
      <w:r w:rsidR="00425E5C" w:rsidRPr="00425E5C">
        <w:rPr>
          <w:rFonts w:ascii="Times New Roman" w:hAnsi="Times New Roman"/>
          <w:i/>
          <w:iCs/>
          <w:sz w:val="28"/>
          <w:szCs w:val="28"/>
        </w:rPr>
        <w:t>Celgene Corp. v. Barr Labs., Inc.</w:t>
      </w:r>
      <w:r w:rsidR="00425E5C" w:rsidRPr="00425E5C">
        <w:rPr>
          <w:rFonts w:ascii="Times New Roman" w:hAnsi="Times New Roman"/>
          <w:sz w:val="28"/>
          <w:szCs w:val="28"/>
        </w:rPr>
        <w:t>, Civil Action No. 07-286 (SDW), 2008 WL 2447354, at *2-3 (D.N.J. June 13, 2008)</w:t>
      </w:r>
      <w:r w:rsidR="00425E5C" w:rsidRPr="00425E5C">
        <w:rPr>
          <w:rFonts w:ascii="Times New Roman" w:hAnsi="Times New Roman"/>
          <w:i/>
          <w:iCs/>
          <w:sz w:val="28"/>
          <w:szCs w:val="28"/>
        </w:rPr>
        <w:t>.</w:t>
      </w:r>
    </w:p>
    <w:p w:rsidR="00743FFE" w:rsidRPr="00FE005E" w:rsidRDefault="00743FFE" w:rsidP="00C37A5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D4B8A" w:rsidRPr="00FE005E" w:rsidRDefault="007D4B8A" w:rsidP="00743FFE">
      <w:pPr>
        <w:jc w:val="both"/>
        <w:rPr>
          <w:rFonts w:ascii="Times New Roman" w:hAnsi="Times New Roman"/>
          <w:sz w:val="28"/>
          <w:szCs w:val="28"/>
        </w:rPr>
      </w:pPr>
    </w:p>
    <w:p w:rsidR="00E043EA" w:rsidRPr="00FE005E" w:rsidRDefault="00E043EA" w:rsidP="00237DEE">
      <w:pPr>
        <w:pStyle w:val="ListParagraph"/>
        <w:numPr>
          <w:ilvl w:val="0"/>
          <w:numId w:val="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t>Post-Trial Royalties</w:t>
      </w:r>
    </w:p>
    <w:p w:rsidR="00E043EA" w:rsidRPr="00FE005E" w:rsidRDefault="00E043EA" w:rsidP="00C37A53">
      <w:pPr>
        <w:jc w:val="both"/>
        <w:rPr>
          <w:rFonts w:ascii="Times New Roman" w:hAnsi="Times New Roman"/>
          <w:sz w:val="28"/>
          <w:szCs w:val="28"/>
        </w:rPr>
      </w:pPr>
    </w:p>
    <w:p w:rsidR="00012143" w:rsidRPr="00FE005E" w:rsidRDefault="00E16F6C" w:rsidP="00743FFE">
      <w:pPr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sz w:val="28"/>
          <w:szCs w:val="28"/>
        </w:rPr>
        <w:t>A jury trial is also not required to determine the royalty rate for post-verdict patent infringement.</w:t>
      </w:r>
    </w:p>
    <w:p w:rsidR="00E043EA" w:rsidRPr="00FE005E" w:rsidRDefault="00E043EA" w:rsidP="00C37A53">
      <w:pPr>
        <w:tabs>
          <w:tab w:val="left" w:pos="720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012143" w:rsidRPr="00FE005E" w:rsidRDefault="00C238B7" w:rsidP="00743FFE">
      <w:pPr>
        <w:tabs>
          <w:tab w:val="left" w:pos="720"/>
        </w:tabs>
        <w:ind w:left="720" w:righ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E16F6C" w:rsidRPr="00FE005E">
        <w:rPr>
          <w:rFonts w:ascii="Times New Roman" w:hAnsi="Times New Roman"/>
          <w:sz w:val="28"/>
          <w:szCs w:val="28"/>
        </w:rPr>
        <w:t>[N]ot all monetary relief is properly characterized as ‘damages.’</w:t>
      </w:r>
      <w:r>
        <w:rPr>
          <w:rFonts w:ascii="Times New Roman" w:hAnsi="Times New Roman"/>
          <w:sz w:val="28"/>
          <w:szCs w:val="28"/>
        </w:rPr>
        <w:t>”</w:t>
      </w:r>
    </w:p>
    <w:p w:rsidR="00E043EA" w:rsidRPr="00FE005E" w:rsidRDefault="00E043EA" w:rsidP="00743FFE">
      <w:pPr>
        <w:tabs>
          <w:tab w:val="left" w:pos="720"/>
        </w:tabs>
        <w:ind w:left="720" w:right="720"/>
        <w:jc w:val="both"/>
        <w:rPr>
          <w:rFonts w:ascii="Times New Roman" w:hAnsi="Times New Roman"/>
          <w:sz w:val="28"/>
          <w:szCs w:val="28"/>
        </w:rPr>
      </w:pPr>
    </w:p>
    <w:p w:rsidR="00012143" w:rsidRPr="00FE005E" w:rsidRDefault="00E16F6C" w:rsidP="00743FFE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FE005E">
        <w:rPr>
          <w:rFonts w:ascii="Times New Roman" w:hAnsi="Times New Roman"/>
          <w:i/>
          <w:iCs/>
          <w:sz w:val="28"/>
          <w:szCs w:val="28"/>
        </w:rPr>
        <w:t>Paice LLC v. Toyota Motor Corp.</w:t>
      </w:r>
      <w:r w:rsidRPr="00FE005E">
        <w:rPr>
          <w:rFonts w:ascii="Times New Roman" w:hAnsi="Times New Roman"/>
          <w:sz w:val="28"/>
          <w:szCs w:val="28"/>
        </w:rPr>
        <w:t>, 504 F.3d 1293, 1316 (Fed. Cir. 2007).</w:t>
      </w:r>
    </w:p>
    <w:p w:rsidR="00E043EA" w:rsidRDefault="00E043EA" w:rsidP="00C37A53">
      <w:pPr>
        <w:jc w:val="both"/>
        <w:rPr>
          <w:rFonts w:ascii="Times New Roman" w:hAnsi="Times New Roman"/>
          <w:b/>
          <w:sz w:val="28"/>
          <w:szCs w:val="28"/>
        </w:rPr>
      </w:pPr>
    </w:p>
    <w:p w:rsidR="00FD7EB9" w:rsidRPr="00FE005E" w:rsidRDefault="00FD7EB9" w:rsidP="00C37A53">
      <w:pPr>
        <w:jc w:val="both"/>
        <w:rPr>
          <w:rFonts w:ascii="Times New Roman" w:hAnsi="Times New Roman"/>
          <w:b/>
          <w:sz w:val="28"/>
          <w:szCs w:val="28"/>
        </w:rPr>
      </w:pPr>
    </w:p>
    <w:p w:rsidR="000315B3" w:rsidRPr="00FE005E" w:rsidRDefault="00BB556E" w:rsidP="00237DEE">
      <w:pPr>
        <w:pStyle w:val="ListParagraph"/>
        <w:numPr>
          <w:ilvl w:val="0"/>
          <w:numId w:val="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005E">
        <w:rPr>
          <w:rFonts w:ascii="Times New Roman" w:hAnsi="Times New Roman"/>
          <w:b/>
          <w:sz w:val="28"/>
          <w:szCs w:val="28"/>
        </w:rPr>
        <w:t xml:space="preserve">FRAND </w:t>
      </w:r>
      <w:r w:rsidR="00E33E12" w:rsidRPr="00FE005E">
        <w:rPr>
          <w:rFonts w:ascii="Times New Roman" w:hAnsi="Times New Roman"/>
          <w:b/>
          <w:sz w:val="28"/>
          <w:szCs w:val="28"/>
        </w:rPr>
        <w:t>Issues Analogous To Patent Infringement</w:t>
      </w:r>
    </w:p>
    <w:p w:rsidR="004F41C9" w:rsidRPr="00FE005E" w:rsidRDefault="004F41C9" w:rsidP="00C37A53">
      <w:pPr>
        <w:jc w:val="both"/>
        <w:rPr>
          <w:rFonts w:ascii="Times New Roman" w:hAnsi="Times New Roman"/>
          <w:b/>
          <w:sz w:val="28"/>
          <w:szCs w:val="28"/>
        </w:rPr>
      </w:pPr>
    </w:p>
    <w:p w:rsidR="004F41C9" w:rsidRDefault="007D4B8A" w:rsidP="00C37A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4F41C9" w:rsidRPr="00FE005E">
        <w:rPr>
          <w:rFonts w:ascii="Times New Roman" w:hAnsi="Times New Roman"/>
          <w:sz w:val="28"/>
          <w:szCs w:val="28"/>
        </w:rPr>
        <w:t xml:space="preserve">SEP owner has right to trial by jury on </w:t>
      </w:r>
      <w:r w:rsidR="00425E5C">
        <w:rPr>
          <w:rFonts w:ascii="Times New Roman" w:hAnsi="Times New Roman"/>
          <w:sz w:val="28"/>
          <w:szCs w:val="28"/>
        </w:rPr>
        <w:t xml:space="preserve">its </w:t>
      </w:r>
      <w:r w:rsidR="00744A66" w:rsidRPr="00FE005E">
        <w:rPr>
          <w:rFonts w:ascii="Times New Roman" w:hAnsi="Times New Roman"/>
          <w:sz w:val="28"/>
          <w:szCs w:val="28"/>
        </w:rPr>
        <w:t xml:space="preserve">claim for </w:t>
      </w:r>
      <w:r w:rsidR="005A3CE2">
        <w:rPr>
          <w:rFonts w:ascii="Times New Roman" w:hAnsi="Times New Roman"/>
          <w:sz w:val="28"/>
          <w:szCs w:val="28"/>
        </w:rPr>
        <w:t>past</w:t>
      </w:r>
      <w:r w:rsidR="00BB556E" w:rsidRPr="00FE005E">
        <w:rPr>
          <w:rFonts w:ascii="Times New Roman" w:hAnsi="Times New Roman"/>
          <w:sz w:val="28"/>
          <w:szCs w:val="28"/>
        </w:rPr>
        <w:t xml:space="preserve"> royalties for past use of </w:t>
      </w:r>
      <w:r w:rsidR="005A3CE2">
        <w:rPr>
          <w:rFonts w:ascii="Times New Roman" w:hAnsi="Times New Roman"/>
          <w:sz w:val="28"/>
          <w:szCs w:val="28"/>
        </w:rPr>
        <w:t xml:space="preserve">its </w:t>
      </w:r>
      <w:r w:rsidR="00BB556E" w:rsidRPr="00FE005E">
        <w:rPr>
          <w:rFonts w:ascii="Times New Roman" w:hAnsi="Times New Roman"/>
          <w:sz w:val="28"/>
          <w:szCs w:val="28"/>
        </w:rPr>
        <w:t>SEP</w:t>
      </w:r>
      <w:r w:rsidR="00A073CB" w:rsidRPr="00FE005E">
        <w:rPr>
          <w:rFonts w:ascii="Times New Roman" w:hAnsi="Times New Roman"/>
          <w:sz w:val="28"/>
          <w:szCs w:val="28"/>
        </w:rPr>
        <w:t xml:space="preserve"> because </w:t>
      </w:r>
      <w:r w:rsidR="005A3CE2">
        <w:rPr>
          <w:rFonts w:ascii="Times New Roman" w:hAnsi="Times New Roman"/>
          <w:sz w:val="28"/>
          <w:szCs w:val="28"/>
        </w:rPr>
        <w:t xml:space="preserve">that claim </w:t>
      </w:r>
      <w:r w:rsidR="00BB556E" w:rsidRPr="00FE005E">
        <w:rPr>
          <w:rFonts w:ascii="Times New Roman" w:hAnsi="Times New Roman"/>
          <w:sz w:val="28"/>
          <w:szCs w:val="28"/>
        </w:rPr>
        <w:t xml:space="preserve">is </w:t>
      </w:r>
      <w:r w:rsidR="00744A66" w:rsidRPr="00FE005E">
        <w:rPr>
          <w:rFonts w:ascii="Times New Roman" w:hAnsi="Times New Roman"/>
          <w:sz w:val="28"/>
          <w:szCs w:val="28"/>
        </w:rPr>
        <w:t xml:space="preserve">analogous to </w:t>
      </w:r>
      <w:r w:rsidR="00BB556E" w:rsidRPr="00FE005E">
        <w:rPr>
          <w:rFonts w:ascii="Times New Roman" w:hAnsi="Times New Roman"/>
          <w:sz w:val="28"/>
          <w:szCs w:val="28"/>
        </w:rPr>
        <w:t xml:space="preserve">a claim at law for patent infringement.  </w:t>
      </w:r>
      <w:r w:rsidR="00BB556E" w:rsidRPr="00FE005E">
        <w:rPr>
          <w:rFonts w:ascii="Times New Roman" w:hAnsi="Times New Roman"/>
          <w:i/>
          <w:sz w:val="28"/>
          <w:szCs w:val="28"/>
        </w:rPr>
        <w:t xml:space="preserve">TCL </w:t>
      </w:r>
      <w:r w:rsidR="00FD7EB9">
        <w:rPr>
          <w:rFonts w:ascii="Times New Roman" w:hAnsi="Times New Roman"/>
          <w:i/>
          <w:sz w:val="28"/>
          <w:szCs w:val="28"/>
        </w:rPr>
        <w:t xml:space="preserve">Commc’n </w:t>
      </w:r>
      <w:r w:rsidR="00BB556E" w:rsidRPr="00FE005E">
        <w:rPr>
          <w:rFonts w:ascii="Times New Roman" w:hAnsi="Times New Roman"/>
          <w:i/>
          <w:sz w:val="28"/>
          <w:szCs w:val="28"/>
        </w:rPr>
        <w:t>Tech. Holdings Ltd</w:t>
      </w:r>
      <w:r w:rsidR="00FD7EB9">
        <w:rPr>
          <w:rFonts w:ascii="Times New Roman" w:hAnsi="Times New Roman"/>
          <w:i/>
          <w:sz w:val="28"/>
          <w:szCs w:val="28"/>
        </w:rPr>
        <w:t>.</w:t>
      </w:r>
      <w:r w:rsidR="00BB556E" w:rsidRPr="00FE005E">
        <w:rPr>
          <w:rFonts w:ascii="Times New Roman" w:hAnsi="Times New Roman"/>
          <w:i/>
          <w:sz w:val="28"/>
          <w:szCs w:val="28"/>
        </w:rPr>
        <w:t xml:space="preserve"> v. Telefonaktiebolaget LM Ericsson</w:t>
      </w:r>
      <w:r w:rsidR="00A073CB" w:rsidRPr="00FE005E">
        <w:rPr>
          <w:rFonts w:ascii="Times New Roman" w:hAnsi="Times New Roman"/>
          <w:sz w:val="28"/>
          <w:szCs w:val="28"/>
        </w:rPr>
        <w:t xml:space="preserve">, </w:t>
      </w:r>
      <w:r w:rsidR="00FD7EB9">
        <w:rPr>
          <w:rFonts w:ascii="Times New Roman" w:hAnsi="Times New Roman"/>
          <w:sz w:val="28"/>
          <w:szCs w:val="28"/>
        </w:rPr>
        <w:t xml:space="preserve">943 F.3d 1360 </w:t>
      </w:r>
      <w:r w:rsidR="00A073CB" w:rsidRPr="00FE005E">
        <w:rPr>
          <w:rFonts w:ascii="Times New Roman" w:hAnsi="Times New Roman"/>
          <w:sz w:val="28"/>
          <w:szCs w:val="28"/>
        </w:rPr>
        <w:t>(Fed. Cir.</w:t>
      </w:r>
      <w:r w:rsidR="0062526B" w:rsidRPr="00FE005E">
        <w:rPr>
          <w:rFonts w:ascii="Times New Roman" w:hAnsi="Times New Roman"/>
          <w:sz w:val="28"/>
          <w:szCs w:val="28"/>
        </w:rPr>
        <w:t xml:space="preserve"> 2019)</w:t>
      </w:r>
      <w:r w:rsidR="00C238B7">
        <w:rPr>
          <w:rFonts w:ascii="Times New Roman" w:hAnsi="Times New Roman"/>
          <w:sz w:val="28"/>
          <w:szCs w:val="28"/>
        </w:rPr>
        <w:t>.</w:t>
      </w:r>
      <w:r w:rsidR="0062526B" w:rsidRPr="00FE005E">
        <w:rPr>
          <w:rFonts w:ascii="Times New Roman" w:hAnsi="Times New Roman"/>
          <w:sz w:val="28"/>
          <w:szCs w:val="28"/>
        </w:rPr>
        <w:t xml:space="preserve"> </w:t>
      </w:r>
      <w:r w:rsidR="00A073CB" w:rsidRPr="00FE005E">
        <w:rPr>
          <w:rFonts w:ascii="Times New Roman" w:hAnsi="Times New Roman"/>
          <w:sz w:val="28"/>
          <w:szCs w:val="28"/>
        </w:rPr>
        <w:t xml:space="preserve">  </w:t>
      </w:r>
      <w:r w:rsidR="00BB556E" w:rsidRPr="00FE005E">
        <w:rPr>
          <w:rFonts w:ascii="Times New Roman" w:hAnsi="Times New Roman"/>
          <w:sz w:val="28"/>
          <w:szCs w:val="28"/>
        </w:rPr>
        <w:t xml:space="preserve">  </w:t>
      </w:r>
    </w:p>
    <w:p w:rsidR="00FD7EB9" w:rsidRDefault="00FD7EB9" w:rsidP="00C37A53">
      <w:pPr>
        <w:jc w:val="both"/>
        <w:rPr>
          <w:rFonts w:ascii="Times New Roman" w:hAnsi="Times New Roman"/>
          <w:sz w:val="28"/>
          <w:szCs w:val="28"/>
        </w:rPr>
      </w:pPr>
    </w:p>
    <w:p w:rsidR="00FD7EB9" w:rsidRDefault="00FD7EB9" w:rsidP="00C37A53">
      <w:pPr>
        <w:jc w:val="both"/>
        <w:rPr>
          <w:rFonts w:ascii="Times New Roman" w:hAnsi="Times New Roman"/>
          <w:sz w:val="28"/>
          <w:szCs w:val="28"/>
        </w:rPr>
      </w:pPr>
    </w:p>
    <w:p w:rsidR="00FD7EB9" w:rsidRPr="00FD7EB9" w:rsidRDefault="00FD7EB9" w:rsidP="00FD7EB9">
      <w:pPr>
        <w:jc w:val="both"/>
        <w:rPr>
          <w:rFonts w:ascii="Times New Roman" w:hAnsi="Times New Roman"/>
          <w:sz w:val="28"/>
          <w:szCs w:val="28"/>
        </w:rPr>
      </w:pPr>
    </w:p>
    <w:p w:rsidR="00FD7EB9" w:rsidRPr="00FD7EB9" w:rsidRDefault="00FD7EB9" w:rsidP="00FD7EB9">
      <w:pPr>
        <w:jc w:val="both"/>
        <w:rPr>
          <w:rFonts w:ascii="Times New Roman" w:hAnsi="Times New Roman"/>
          <w:sz w:val="28"/>
          <w:szCs w:val="28"/>
        </w:rPr>
      </w:pPr>
    </w:p>
    <w:sectPr w:rsidR="00FD7EB9" w:rsidRPr="00FD7EB9" w:rsidSect="00EA5CCF">
      <w:footerReference w:type="default" r:id="rId8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1C" w:rsidRDefault="00675B1C" w:rsidP="00E94457">
      <w:r>
        <w:separator/>
      </w:r>
    </w:p>
  </w:endnote>
  <w:endnote w:type="continuationSeparator" w:id="0">
    <w:p w:rsidR="00675B1C" w:rsidRDefault="00675B1C" w:rsidP="00E9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CCF" w:rsidRPr="00237DEE" w:rsidRDefault="00EA5CCF">
    <w:pPr>
      <w:pStyle w:val="Footer"/>
      <w:tabs>
        <w:tab w:val="clear" w:pos="4680"/>
        <w:tab w:val="clear" w:pos="9360"/>
      </w:tabs>
      <w:jc w:val="center"/>
      <w:rPr>
        <w:rFonts w:ascii="Times New Roman" w:hAnsi="Times New Roman"/>
        <w:caps/>
        <w:noProof/>
        <w:sz w:val="28"/>
        <w:szCs w:val="28"/>
      </w:rPr>
    </w:pPr>
    <w:r w:rsidRPr="00237DEE">
      <w:rPr>
        <w:rFonts w:ascii="Times New Roman" w:hAnsi="Times New Roman"/>
        <w:caps/>
        <w:sz w:val="28"/>
        <w:szCs w:val="28"/>
      </w:rPr>
      <w:fldChar w:fldCharType="begin"/>
    </w:r>
    <w:r w:rsidRPr="00237DEE">
      <w:rPr>
        <w:rFonts w:ascii="Times New Roman" w:hAnsi="Times New Roman"/>
        <w:caps/>
        <w:sz w:val="28"/>
        <w:szCs w:val="28"/>
      </w:rPr>
      <w:instrText xml:space="preserve"> PAGE   \* MERGEFORMAT </w:instrText>
    </w:r>
    <w:r w:rsidRPr="00237DEE">
      <w:rPr>
        <w:rFonts w:ascii="Times New Roman" w:hAnsi="Times New Roman"/>
        <w:caps/>
        <w:sz w:val="28"/>
        <w:szCs w:val="28"/>
      </w:rPr>
      <w:fldChar w:fldCharType="separate"/>
    </w:r>
    <w:r w:rsidR="005E36C3">
      <w:rPr>
        <w:rFonts w:ascii="Times New Roman" w:hAnsi="Times New Roman"/>
        <w:caps/>
        <w:noProof/>
        <w:sz w:val="28"/>
        <w:szCs w:val="28"/>
      </w:rPr>
      <w:t>3</w:t>
    </w:r>
    <w:r w:rsidRPr="00237DEE">
      <w:rPr>
        <w:rFonts w:ascii="Times New Roman" w:hAnsi="Times New Roman"/>
        <w:caps/>
        <w:noProof/>
        <w:sz w:val="28"/>
        <w:szCs w:val="28"/>
      </w:rPr>
      <w:fldChar w:fldCharType="end"/>
    </w:r>
  </w:p>
  <w:p w:rsidR="00E94457" w:rsidRDefault="00E94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1C" w:rsidRDefault="00675B1C" w:rsidP="00E94457">
      <w:r>
        <w:separator/>
      </w:r>
    </w:p>
  </w:footnote>
  <w:footnote w:type="continuationSeparator" w:id="0">
    <w:p w:rsidR="00675B1C" w:rsidRDefault="00675B1C" w:rsidP="00E9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929"/>
    <w:multiLevelType w:val="hybridMultilevel"/>
    <w:tmpl w:val="47B08E30"/>
    <w:lvl w:ilvl="0" w:tplc="6BEE2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A2A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86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A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5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65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2E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C8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E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83FD1"/>
    <w:multiLevelType w:val="hybridMultilevel"/>
    <w:tmpl w:val="3356D0BC"/>
    <w:lvl w:ilvl="0" w:tplc="A386FD74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[%1]"/>
      <w:lvlJc w:val="left"/>
      <w:pPr>
        <w:ind w:left="720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E8C"/>
    <w:multiLevelType w:val="hybridMultilevel"/>
    <w:tmpl w:val="687E3008"/>
    <w:lvl w:ilvl="0" w:tplc="FA2AE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C63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49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2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83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2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20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ED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69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D926E8"/>
    <w:multiLevelType w:val="hybridMultilevel"/>
    <w:tmpl w:val="89365464"/>
    <w:lvl w:ilvl="0" w:tplc="18A83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2B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C3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24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8D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6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0B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984A85"/>
    <w:multiLevelType w:val="hybridMultilevel"/>
    <w:tmpl w:val="D2D6E67A"/>
    <w:lvl w:ilvl="0" w:tplc="0F42C4BE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[%1]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E11058"/>
    <w:multiLevelType w:val="hybridMultilevel"/>
    <w:tmpl w:val="4A26205E"/>
    <w:lvl w:ilvl="0" w:tplc="5D12DC2C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[%1]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9D1EDA"/>
    <w:multiLevelType w:val="hybridMultilevel"/>
    <w:tmpl w:val="B72EF63E"/>
    <w:lvl w:ilvl="0" w:tplc="48846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4A7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4A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4C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E2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4C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7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EE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06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EC34F0"/>
    <w:multiLevelType w:val="hybridMultilevel"/>
    <w:tmpl w:val="71D4337A"/>
    <w:lvl w:ilvl="0" w:tplc="11D80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B69"/>
    <w:multiLevelType w:val="hybridMultilevel"/>
    <w:tmpl w:val="9E0E0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D73C3"/>
    <w:multiLevelType w:val="hybridMultilevel"/>
    <w:tmpl w:val="8E6C2DB4"/>
    <w:lvl w:ilvl="0" w:tplc="E1A28B24">
      <w:start w:val="1"/>
      <w:numFmt w:val="decimal"/>
      <w:pStyle w:val="Claim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E83EE1"/>
    <w:multiLevelType w:val="hybridMultilevel"/>
    <w:tmpl w:val="EBBE5A52"/>
    <w:lvl w:ilvl="0" w:tplc="4DCA9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898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42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48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61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60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40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5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C7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87258E"/>
    <w:multiLevelType w:val="hybridMultilevel"/>
    <w:tmpl w:val="0686C32E"/>
    <w:lvl w:ilvl="0" w:tplc="11D80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E00E8"/>
    <w:multiLevelType w:val="hybridMultilevel"/>
    <w:tmpl w:val="30E41CF8"/>
    <w:lvl w:ilvl="0" w:tplc="4B8CAE54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635483"/>
    <w:multiLevelType w:val="hybridMultilevel"/>
    <w:tmpl w:val="4254DAA2"/>
    <w:lvl w:ilvl="0" w:tplc="0008925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154D"/>
    <w:multiLevelType w:val="hybridMultilevel"/>
    <w:tmpl w:val="9E909C6A"/>
    <w:lvl w:ilvl="0" w:tplc="5824D74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CFF1DA2"/>
    <w:multiLevelType w:val="hybridMultilevel"/>
    <w:tmpl w:val="19AEA026"/>
    <w:lvl w:ilvl="0" w:tplc="535A3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A48A1"/>
    <w:multiLevelType w:val="hybridMultilevel"/>
    <w:tmpl w:val="0BC87B98"/>
    <w:lvl w:ilvl="0" w:tplc="D91E1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67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05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A8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6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83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AB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27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E5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F4477A"/>
    <w:multiLevelType w:val="hybridMultilevel"/>
    <w:tmpl w:val="9C3412CA"/>
    <w:lvl w:ilvl="0" w:tplc="13E6D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6B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88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40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0F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02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6F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0F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C4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2C6BD8"/>
    <w:multiLevelType w:val="hybridMultilevel"/>
    <w:tmpl w:val="062893C2"/>
    <w:lvl w:ilvl="0" w:tplc="FF481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8F4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08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4A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9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40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49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07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25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64D4959"/>
    <w:multiLevelType w:val="hybridMultilevel"/>
    <w:tmpl w:val="56AECB58"/>
    <w:lvl w:ilvl="0" w:tplc="72DA8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CCA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E3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EC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40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21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40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2E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A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E008B3"/>
    <w:multiLevelType w:val="hybridMultilevel"/>
    <w:tmpl w:val="1F3C9ED4"/>
    <w:lvl w:ilvl="0" w:tplc="A2B0D5BC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lvlText w:val="[%1]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D0AA1"/>
    <w:multiLevelType w:val="hybridMultilevel"/>
    <w:tmpl w:val="E780C2A4"/>
    <w:lvl w:ilvl="0" w:tplc="A4C47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82B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6A3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CD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6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6B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09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64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C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164A0E"/>
    <w:multiLevelType w:val="hybridMultilevel"/>
    <w:tmpl w:val="9EFA61F8"/>
    <w:lvl w:ilvl="0" w:tplc="FEB8A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E2E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88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6B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2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82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8D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6A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0F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C16196"/>
    <w:multiLevelType w:val="hybridMultilevel"/>
    <w:tmpl w:val="EF423C24"/>
    <w:lvl w:ilvl="0" w:tplc="B2B8D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A85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C5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6D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67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6F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E7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8C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67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20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6"/>
  </w:num>
  <w:num w:numId="15">
    <w:abstractNumId w:val="6"/>
  </w:num>
  <w:num w:numId="16">
    <w:abstractNumId w:val="17"/>
  </w:num>
  <w:num w:numId="17">
    <w:abstractNumId w:val="10"/>
  </w:num>
  <w:num w:numId="18">
    <w:abstractNumId w:val="0"/>
  </w:num>
  <w:num w:numId="19">
    <w:abstractNumId w:val="2"/>
  </w:num>
  <w:num w:numId="20">
    <w:abstractNumId w:val="23"/>
  </w:num>
  <w:num w:numId="21">
    <w:abstractNumId w:val="22"/>
  </w:num>
  <w:num w:numId="22">
    <w:abstractNumId w:val="19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2"/>
  <w:activeWritingStyle w:appName="MSWord" w:lang="es-ES" w:vendorID="64" w:dllVersion="131078" w:nlCheck="1" w:checkStyle="0"/>
  <w:activeWritingStyle w:appName="MSWord" w:lang="en-US" w:vendorID="64" w:dllVersion="131078" w:nlCheck="1" w:checkStyle="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39"/>
    <w:rsid w:val="00000F0B"/>
    <w:rsid w:val="00012143"/>
    <w:rsid w:val="000315B3"/>
    <w:rsid w:val="000434CC"/>
    <w:rsid w:val="0008256D"/>
    <w:rsid w:val="000C5EFE"/>
    <w:rsid w:val="000E0F77"/>
    <w:rsid w:val="000F6DF2"/>
    <w:rsid w:val="00135BAE"/>
    <w:rsid w:val="001477EF"/>
    <w:rsid w:val="00157938"/>
    <w:rsid w:val="00186D2F"/>
    <w:rsid w:val="001A434D"/>
    <w:rsid w:val="001B1C21"/>
    <w:rsid w:val="001B757C"/>
    <w:rsid w:val="001B7FAC"/>
    <w:rsid w:val="001F73B9"/>
    <w:rsid w:val="0022748E"/>
    <w:rsid w:val="002275A7"/>
    <w:rsid w:val="00237DEE"/>
    <w:rsid w:val="00285A89"/>
    <w:rsid w:val="00292388"/>
    <w:rsid w:val="003776BA"/>
    <w:rsid w:val="0038289F"/>
    <w:rsid w:val="003A438E"/>
    <w:rsid w:val="003B3453"/>
    <w:rsid w:val="003B37BE"/>
    <w:rsid w:val="003C7F8A"/>
    <w:rsid w:val="003F7D13"/>
    <w:rsid w:val="00404108"/>
    <w:rsid w:val="004042FD"/>
    <w:rsid w:val="004155E6"/>
    <w:rsid w:val="00423D8E"/>
    <w:rsid w:val="00425E5C"/>
    <w:rsid w:val="00433DC3"/>
    <w:rsid w:val="0043710A"/>
    <w:rsid w:val="004430FC"/>
    <w:rsid w:val="00452775"/>
    <w:rsid w:val="00482B05"/>
    <w:rsid w:val="004A6D73"/>
    <w:rsid w:val="004B4898"/>
    <w:rsid w:val="004B5A03"/>
    <w:rsid w:val="004C0516"/>
    <w:rsid w:val="004C2C2B"/>
    <w:rsid w:val="004F41C9"/>
    <w:rsid w:val="0050434D"/>
    <w:rsid w:val="00525003"/>
    <w:rsid w:val="005746D5"/>
    <w:rsid w:val="00581BE5"/>
    <w:rsid w:val="005A3CE2"/>
    <w:rsid w:val="005A4F28"/>
    <w:rsid w:val="005C294D"/>
    <w:rsid w:val="005D7574"/>
    <w:rsid w:val="005E36C3"/>
    <w:rsid w:val="0062526B"/>
    <w:rsid w:val="00657720"/>
    <w:rsid w:val="00675B1C"/>
    <w:rsid w:val="00692286"/>
    <w:rsid w:val="006A33F4"/>
    <w:rsid w:val="006A3998"/>
    <w:rsid w:val="007228CF"/>
    <w:rsid w:val="00743FFE"/>
    <w:rsid w:val="00744767"/>
    <w:rsid w:val="00744A66"/>
    <w:rsid w:val="00792D42"/>
    <w:rsid w:val="007D4B8A"/>
    <w:rsid w:val="007F3D20"/>
    <w:rsid w:val="00835739"/>
    <w:rsid w:val="00870C29"/>
    <w:rsid w:val="008927C2"/>
    <w:rsid w:val="008F1708"/>
    <w:rsid w:val="008F1F8D"/>
    <w:rsid w:val="00910000"/>
    <w:rsid w:val="0096032E"/>
    <w:rsid w:val="009D0A67"/>
    <w:rsid w:val="009E1DEF"/>
    <w:rsid w:val="009E305F"/>
    <w:rsid w:val="00A02712"/>
    <w:rsid w:val="00A02815"/>
    <w:rsid w:val="00A05E8D"/>
    <w:rsid w:val="00A073CB"/>
    <w:rsid w:val="00A0776A"/>
    <w:rsid w:val="00A46675"/>
    <w:rsid w:val="00A6305D"/>
    <w:rsid w:val="00AD79FA"/>
    <w:rsid w:val="00B44E39"/>
    <w:rsid w:val="00B63423"/>
    <w:rsid w:val="00B75C12"/>
    <w:rsid w:val="00BA1C94"/>
    <w:rsid w:val="00BA5BD8"/>
    <w:rsid w:val="00BB556E"/>
    <w:rsid w:val="00BB6C13"/>
    <w:rsid w:val="00BD33E3"/>
    <w:rsid w:val="00BE0987"/>
    <w:rsid w:val="00BE3FAD"/>
    <w:rsid w:val="00C017B4"/>
    <w:rsid w:val="00C04591"/>
    <w:rsid w:val="00C166FA"/>
    <w:rsid w:val="00C238B7"/>
    <w:rsid w:val="00C3514F"/>
    <w:rsid w:val="00C37A53"/>
    <w:rsid w:val="00C46879"/>
    <w:rsid w:val="00C56C6A"/>
    <w:rsid w:val="00C62585"/>
    <w:rsid w:val="00C82FED"/>
    <w:rsid w:val="00C8422C"/>
    <w:rsid w:val="00CA1FAB"/>
    <w:rsid w:val="00CD68C6"/>
    <w:rsid w:val="00CE0AEF"/>
    <w:rsid w:val="00CF079C"/>
    <w:rsid w:val="00D0000F"/>
    <w:rsid w:val="00D21AEF"/>
    <w:rsid w:val="00DD3E35"/>
    <w:rsid w:val="00E043EA"/>
    <w:rsid w:val="00E14114"/>
    <w:rsid w:val="00E16F6C"/>
    <w:rsid w:val="00E300B7"/>
    <w:rsid w:val="00E33417"/>
    <w:rsid w:val="00E33E12"/>
    <w:rsid w:val="00E42EB0"/>
    <w:rsid w:val="00E55C5A"/>
    <w:rsid w:val="00E84ACD"/>
    <w:rsid w:val="00E8732C"/>
    <w:rsid w:val="00E92348"/>
    <w:rsid w:val="00E94457"/>
    <w:rsid w:val="00EA5CCF"/>
    <w:rsid w:val="00EB054F"/>
    <w:rsid w:val="00EC5A18"/>
    <w:rsid w:val="00F160DB"/>
    <w:rsid w:val="00F2127D"/>
    <w:rsid w:val="00F21F19"/>
    <w:rsid w:val="00F275A8"/>
    <w:rsid w:val="00F4113D"/>
    <w:rsid w:val="00F503C5"/>
    <w:rsid w:val="00F506DD"/>
    <w:rsid w:val="00F57916"/>
    <w:rsid w:val="00F65251"/>
    <w:rsid w:val="00FA52AF"/>
    <w:rsid w:val="00FD7538"/>
    <w:rsid w:val="00FD7EB9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0D998"/>
  <w15:chartTrackingRefBased/>
  <w15:docId w15:val="{5F1E8165-A71E-4949-A9DC-76CC7BE1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39"/>
    <w:pPr>
      <w:spacing w:after="0" w:line="240" w:lineRule="auto"/>
    </w:pPr>
    <w:rPr>
      <w:rFonts w:ascii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739"/>
    <w:pPr>
      <w:ind w:left="720"/>
      <w:contextualSpacing/>
    </w:pPr>
  </w:style>
  <w:style w:type="paragraph" w:customStyle="1" w:styleId="Claim">
    <w:name w:val="Claim"/>
    <w:basedOn w:val="Normal"/>
    <w:next w:val="Normal"/>
    <w:autoRedefine/>
    <w:qFormat/>
    <w:rsid w:val="00835739"/>
    <w:pPr>
      <w:numPr>
        <w:numId w:val="3"/>
      </w:numPr>
      <w:ind w:left="0" w:firstLine="720"/>
      <w:jc w:val="both"/>
    </w:pPr>
  </w:style>
  <w:style w:type="paragraph" w:customStyle="1" w:styleId="Element">
    <w:name w:val="Element"/>
    <w:basedOn w:val="Normal"/>
    <w:autoRedefine/>
    <w:qFormat/>
    <w:rsid w:val="00835739"/>
    <w:pPr>
      <w:ind w:firstLine="720"/>
      <w:jc w:val="both"/>
    </w:pPr>
  </w:style>
  <w:style w:type="paragraph" w:customStyle="1" w:styleId="ClaimNumOff">
    <w:name w:val="ClaimNumOff"/>
    <w:basedOn w:val="Normal"/>
    <w:next w:val="Normal"/>
    <w:autoRedefine/>
    <w:rsid w:val="00835739"/>
    <w:pPr>
      <w:ind w:firstLine="720"/>
      <w:jc w:val="both"/>
    </w:pPr>
  </w:style>
  <w:style w:type="paragraph" w:customStyle="1" w:styleId="ElementSub">
    <w:name w:val="ElementSub"/>
    <w:basedOn w:val="Element"/>
    <w:autoRedefine/>
    <w:rsid w:val="00835739"/>
    <w:pPr>
      <w:ind w:left="1440"/>
    </w:pPr>
  </w:style>
  <w:style w:type="paragraph" w:customStyle="1" w:styleId="DocNormal">
    <w:name w:val="DocNormal"/>
    <w:basedOn w:val="Normal"/>
    <w:link w:val="DocNormalChar"/>
    <w:qFormat/>
    <w:rsid w:val="00835739"/>
    <w:pPr>
      <w:spacing w:before="120"/>
      <w:jc w:val="both"/>
    </w:pPr>
    <w:rPr>
      <w:rFonts w:cs="Arial"/>
      <w:b/>
      <w:sz w:val="16"/>
    </w:rPr>
  </w:style>
  <w:style w:type="character" w:customStyle="1" w:styleId="DocNormalChar">
    <w:name w:val="DocNormal Char"/>
    <w:link w:val="DocNormal"/>
    <w:rsid w:val="00835739"/>
    <w:rPr>
      <w:rFonts w:ascii="Arial" w:hAnsi="Arial" w:cs="Arial"/>
      <w:b/>
      <w:sz w:val="16"/>
      <w:szCs w:val="24"/>
    </w:rPr>
  </w:style>
  <w:style w:type="paragraph" w:styleId="EnvelopeAddress">
    <w:name w:val="envelope address"/>
    <w:basedOn w:val="Normal"/>
    <w:rsid w:val="00835739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Cs w:val="20"/>
    </w:rPr>
  </w:style>
  <w:style w:type="paragraph" w:customStyle="1" w:styleId="PatentParagraphNumbering">
    <w:name w:val="Patent Paragraph Numbering"/>
    <w:basedOn w:val="ListParagraph"/>
    <w:link w:val="PatentParagraphNumberingChar"/>
    <w:qFormat/>
    <w:rsid w:val="00835739"/>
    <w:pPr>
      <w:tabs>
        <w:tab w:val="left" w:pos="1800"/>
      </w:tabs>
      <w:spacing w:line="360" w:lineRule="auto"/>
      <w:ind w:left="0" w:firstLine="720"/>
      <w:jc w:val="both"/>
    </w:pPr>
    <w:rPr>
      <w:rFonts w:ascii="Times New Roman" w:hAnsi="Times New Roman"/>
      <w:sz w:val="24"/>
    </w:rPr>
  </w:style>
  <w:style w:type="character" w:customStyle="1" w:styleId="PatentParagraphNumberingChar">
    <w:name w:val="Patent Paragraph Numbering Char"/>
    <w:basedOn w:val="DefaultParagraphFont"/>
    <w:link w:val="PatentParagraphNumbering"/>
    <w:rsid w:val="00835739"/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next w:val="Address"/>
    <w:rsid w:val="00835739"/>
    <w:pPr>
      <w:spacing w:before="240"/>
    </w:pPr>
    <w:rPr>
      <w:rFonts w:eastAsia="Times New Roman" w:cs="Arial"/>
      <w:szCs w:val="20"/>
    </w:rPr>
  </w:style>
  <w:style w:type="paragraph" w:customStyle="1" w:styleId="Address">
    <w:name w:val="Address"/>
    <w:basedOn w:val="Normal"/>
    <w:next w:val="Normal"/>
    <w:rsid w:val="00835739"/>
    <w:rPr>
      <w:rFonts w:eastAsia="Times New Roman" w:cs="Arial"/>
      <w:szCs w:val="20"/>
    </w:rPr>
  </w:style>
  <w:style w:type="paragraph" w:customStyle="1" w:styleId="StyleNameBefore0pt">
    <w:name w:val="Style Name + Before:  0 pt"/>
    <w:basedOn w:val="Name"/>
    <w:rsid w:val="00835739"/>
    <w:pPr>
      <w:spacing w:before="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F6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457"/>
    <w:rPr>
      <w:rFonts w:ascii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94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457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7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92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02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3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73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197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3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4938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2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42214">
                                              <w:marLeft w:val="3"/>
                                              <w:marRight w:val="7"/>
                                              <w:marTop w:val="24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76295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132315">
                                                  <w:marLeft w:val="3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54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8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92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37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32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429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66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95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2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.Re\AppData\Roaming\Knobbe\MacroworX\2010\Word\Templates\MX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498A2-7268-41EC-95D0-13F49DCF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MXNormal.dotx</Template>
  <TotalTime>0</TotalTime>
  <Pages>7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Knobbe, Martens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Joe.Re</dc:creator>
  <cp:keywords/>
  <dc:description/>
  <cp:lastModifiedBy>Joe.Re</cp:lastModifiedBy>
  <cp:revision>2</cp:revision>
  <cp:lastPrinted>2020-02-14T00:34:00Z</cp:lastPrinted>
  <dcterms:created xsi:type="dcterms:W3CDTF">2020-02-14T00:36:00Z</dcterms:created>
  <dcterms:modified xsi:type="dcterms:W3CDTF">2020-02-14T00:36:00Z</dcterms:modified>
</cp:coreProperties>
</file>